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0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61099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22" r="-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1"/>
      <w:bookmarkStart w:id="1" w:name="page1"/>
      <w:bookmarkEnd w:id="1"/>
    </w:p>
    <w:p>
      <w:pPr>
        <w:pStyle w:val="Normal"/>
        <w:spacing w:lineRule="auto" w:line="240"/>
        <w:ind w:left="5740" w:right="0" w:hanging="0"/>
        <w:rPr>
          <w:rFonts w:ascii="Arial" w:hAnsi="Arial" w:eastAsia="Arial" w:cs="Arial"/>
          <w:b/>
          <w:i/>
          <w:i/>
          <w:color w:val="auto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</w:r>
    </w:p>
    <w:p>
      <w:pPr>
        <w:pStyle w:val="Normal"/>
        <w:spacing w:lineRule="auto" w:line="240"/>
        <w:ind w:left="0" w:right="0" w:hanging="0"/>
        <w:rPr>
          <w:rFonts w:ascii="Arial" w:hAnsi="Arial" w:eastAsia="Arial" w:cs="Arial"/>
          <w:b/>
          <w:i/>
          <w:i/>
          <w:color w:val="auto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ind w:left="0" w:right="0" w:hanging="0"/>
        <w:rPr/>
      </w:pPr>
      <w:r>
        <w:rPr>
          <w:rFonts w:eastAsia="Arial" w:cs="Arial" w:ascii="Arial" w:hAnsi="Arial"/>
          <w:b/>
          <w:i/>
          <w:color w:val="auto"/>
          <w:sz w:val="18"/>
        </w:rPr>
        <w:t xml:space="preserve">                                                                                                                                </w:t>
      </w:r>
      <w:r>
        <w:rPr>
          <w:rFonts w:eastAsia="Arial" w:cs="Arial" w:ascii="Arial" w:hAnsi="Arial"/>
          <w:b/>
          <w:i/>
          <w:color w:val="auto"/>
          <w:sz w:val="18"/>
        </w:rPr>
        <w:t>Fortaleza (CE), Ano 2025 – Nº 12</w:t>
      </w:r>
    </w:p>
    <w:p>
      <w:pPr>
        <w:pStyle w:val="Normal"/>
        <w:spacing w:lineRule="exact" w:line="20"/>
        <w:rPr>
          <w:rFonts w:ascii="Arial" w:hAnsi="Arial" w:eastAsia="Times New Roman" w:cs="Times New Roman"/>
          <w:b/>
          <w:i/>
          <w:i/>
          <w:color w:val="4F4F4F"/>
          <w:sz w:val="24"/>
        </w:rPr>
      </w:pPr>
      <w:r>
        <w:rPr>
          <w:rFonts w:eastAsia="Times New Roman" w:cs="Times New Roman" w:ascii="Arial" w:hAnsi="Arial"/>
          <w:b/>
          <w:i/>
          <w:color w:val="4F4F4F"/>
          <w:sz w:val="24"/>
        </w:rPr>
      </w:r>
    </w:p>
    <w:p>
      <w:pPr>
        <w:pStyle w:val="Normal"/>
        <w:spacing w:lineRule="exact" w:line="200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</w:r>
    </w:p>
    <w:p>
      <w:pPr>
        <w:pStyle w:val="Normal"/>
        <w:spacing w:lineRule="exact" w:line="233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68580</wp:posOffset>
            </wp:positionH>
            <wp:positionV relativeFrom="paragraph">
              <wp:posOffset>30480</wp:posOffset>
            </wp:positionV>
            <wp:extent cx="6677660" cy="160655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23" r="-5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280" w:right="260" w:hanging="0"/>
        <w:jc w:val="both"/>
        <w:rPr>
          <w:rFonts w:ascii="Arial" w:hAnsi="Arial"/>
        </w:rPr>
      </w:pP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Este Informativo contém informações de decisões proferidas pelos Colegiados do TCE, que receberam indicação de relevância sob o prisma jurisprudencial no período de </w:t>
      </w:r>
      <w:r>
        <w:rPr>
          <w:rFonts w:eastAsia="Arial" w:cs="Arial" w:ascii="Arial" w:hAnsi="Arial"/>
          <w:b/>
          <w:bCs/>
          <w:color w:val="auto"/>
          <w:sz w:val="24"/>
          <w:szCs w:val="24"/>
          <w:lang w:val="pt-BR" w:eastAsia="zh-CN" w:bidi="hi-IN"/>
        </w:rPr>
        <w:t xml:space="preserve">dezembro 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de 2025. As informações aqui apresentadas não constituem, todavia, o resumo oficial da decisão proferida pelo Tribunal nem representam, necessariamente, o posicionamento prevalente do TCE. O objetivo é facilitar ao interessado o acompanhamento dos acórdãos mais importantes do Tribunal. Para aprofundamento, o leitor pode acessar o inteiro teor das deliberações clicando em cima do número do processo. </w:t>
      </w:r>
    </w:p>
    <w:p>
      <w:pPr>
        <w:pStyle w:val="Normal"/>
        <w:spacing w:lineRule="auto" w:line="240"/>
        <w:ind w:left="280" w:right="260" w:hanging="0"/>
        <w:jc w:val="both"/>
        <w:rPr>
          <w:rFonts w:ascii="Arial" w:hAnsi="Arial" w:eastAsia="Arial" w:cs="Arial"/>
          <w:b w:val="false"/>
          <w:bCs w:val="false"/>
          <w:color w:val="auto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auto"/>
          <w:sz w:val="18"/>
          <w:szCs w:val="18"/>
        </w:rPr>
      </w:r>
    </w:p>
    <w:p>
      <w:pPr>
        <w:pStyle w:val="Normal"/>
        <w:spacing w:lineRule="auto" w:line="240"/>
        <w:ind w:left="280" w:right="260" w:hanging="0"/>
        <w:jc w:val="both"/>
        <w:rPr>
          <w:rFonts w:ascii="Arial" w:hAnsi="Arial" w:eastAsia="Arial" w:cs="Arial"/>
          <w:b w:val="false"/>
          <w:bCs w:val="false"/>
          <w:color w:val="auto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auto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 w:val="false"/>
          <w:bCs w:val="false"/>
          <w:color w:val="000000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</w:rPr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21590</wp:posOffset>
            </wp:positionH>
            <wp:positionV relativeFrom="paragraph">
              <wp:posOffset>7620</wp:posOffset>
            </wp:positionV>
            <wp:extent cx="6746875" cy="415290"/>
            <wp:effectExtent l="0" t="0" r="0" b="0"/>
            <wp:wrapNone/>
            <wp:docPr id="3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157" r="-6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Arial" w:hAnsi="Arial"/>
        </w:rPr>
      </w:pPr>
      <w:r>
        <w:rPr>
          <w:rFonts w:eastAsia="Arial" w:cs="Times New Roman" w:ascii="Arial" w:hAnsi="Arial"/>
          <w:b/>
          <w:bCs/>
          <w:color w:val="FFFFFF"/>
          <w:sz w:val="22"/>
          <w:szCs w:val="22"/>
        </w:rPr>
        <w:t xml:space="preserve">ACÓRDÃO Nº 10180/2025 </w:t>
      </w:r>
      <w:r>
        <w:rPr>
          <w:rFonts w:eastAsia="Arial" w:cs="Times New Roman" w:ascii="Arial" w:hAnsi="Arial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/>
        <w:ind w:left="0" w:right="0" w:hanging="0"/>
        <w:jc w:val="center"/>
        <w:rPr>
          <w:rFonts w:ascii="Arial" w:hAnsi="Arial"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 w:ascii="Arial" w:hAnsi="Arial"/>
          <w:b/>
          <w:bCs/>
          <w:color w:val="000000"/>
          <w:sz w:val="18"/>
          <w:szCs w:val="18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Arial" w:hAnsi="Arial"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effect w:val="none"/>
        </w:rPr>
        <w:t>RECURSO DE RECONSIDERAÇÃO. PRESTAÇÃO DE CONTAS DE GESTÃO. INVENTÁRIO DE BENS MÓVEIS. CONTRATO. EMISSÃO DE EMPENHO. PAGAMENTO. DESPESA. INADIMPLEMENTO DE DESPESA. REGULARES COM RESSALVA. REDUÇÃO DA MULTA. DETERMINAÇÃO.</w:t>
      </w:r>
    </w:p>
    <w:p>
      <w:pPr>
        <w:pStyle w:val="Normal"/>
        <w:spacing w:lineRule="auto" w:line="240"/>
        <w:jc w:val="both"/>
        <w:rPr>
          <w:rFonts w:ascii="Arial" w:hAnsi="Arial"/>
          <w:b/>
          <w:i w:val="false"/>
          <w:i w:val="false"/>
          <w:caps w:val="false"/>
          <w:smallCaps w:val="false"/>
          <w:strike w:val="false"/>
          <w:dstrike w:val="false"/>
          <w:color w:val="auto"/>
          <w:sz w:val="18"/>
          <w:szCs w:val="18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auto"/>
          <w:sz w:val="18"/>
          <w:szCs w:val="18"/>
          <w:u w:val="none"/>
          <w:effect w:val="none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auto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  <w:t xml:space="preserve">Recurso de Reconsideração interposto no âmbito de processo de Prestação de Contas Anual, referente ao exercício financeiro de 2016, no qual a Corte de Contas havia julgado as contas regulares com ressalva, em razão de impropriedades formais identificadas no controle patrimonial e na execução da despesa pública. A Recorrente questionou, especificamente, a responsabilização decorrente da ausência ou incompletude do inventário de bens móveis e da emissão de nota de empenho após o encerramento da vigência contratual. No exame do mérito, o Tribunal Pleno reconheceu que, embora o inventário apresentado não atendesse integralmente às exigências formais previstas na legislação aplicável, a documentação superveniente juntada aos autos evidenciou a existência de mecanismos mínimos de controle patrimonial, afastando a presunção de inexistência de acompanhamento dos bens públicos. Tal circunstância foi considerada suficiente para mitigar a gravidade da irregularidade inicialmente apontada. Quanto à execução da despesa, verificou-se que a emissão extemporânea do empenho não se relacionou à contratação ou execução de serviços fora da vigência contratual, mas ao pagamento de obrigações regularmente assumidas durante o período de validade dos contratos, configurando hipótese de adimplemento de despesa já constituída, em consonância com os princípios da legalidade e da continuidade administrativa. A Corte ressaltou que a impropriedade observada possuía natureza eminentemente formal e reduzida relevância material, não sendo apta, por si só, a comprometer a regularidade da gestão. O Pleno do Tribunal de Contas do Estado do Ceará decidiu converter a sanção originalmente aplicada em determinação à gestão atual, orientando-a a observar, de forma rigorosa, as fases da despesa pública, especialmente quanto ao correto momento da emissão do empenho. Ao final, manteve-se o julgamento das contas como regulares com ressalva, reduzindo a multa e expedindo determinação. </w:t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hyperlink r:id="rId5">
        <w:r>
          <w:rPr>
            <w:rStyle w:val="Strong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80"/>
            <w:spacing w:val="0"/>
            <w:kern w:val="0"/>
            <w:sz w:val="18"/>
            <w:szCs w:val="18"/>
            <w:highlight w:val="white"/>
            <w:u w:val="single"/>
            <w:effect w:val="none"/>
            <w:lang w:val="zxx" w:eastAsia="zxx" w:bidi="zxx"/>
          </w:rPr>
          <w:t>Processo n.º 15895/2021-0.</w:t>
        </w:r>
      </w:hyperlink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 xml:space="preserve">  Relator(a): Cons. Patrícia Saboya.   Sessão Pleno de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 w:eastAsia="zh-CN" w:bidi="hi-IN"/>
        </w:rPr>
        <w:t>16/12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>/2025.   Ata n.º 009/2025.  DO: 23/01/2026.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anchor behindDoc="1" distT="0" distB="0" distL="0" distR="0" simplePos="0" locked="0" layoutInCell="1" allowOverlap="1" relativeHeight="11">
            <wp:simplePos x="0" y="0"/>
            <wp:positionH relativeFrom="column">
              <wp:posOffset>-2540</wp:posOffset>
            </wp:positionH>
            <wp:positionV relativeFrom="paragraph">
              <wp:posOffset>93980</wp:posOffset>
            </wp:positionV>
            <wp:extent cx="6825615" cy="504190"/>
            <wp:effectExtent l="0" t="0" r="0" b="0"/>
            <wp:wrapNone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" t="-135" r="-6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/>
          <w:b w:val="false"/>
          <w:bCs w:val="false"/>
          <w:color w:val="333333"/>
          <w:sz w:val="18"/>
          <w:szCs w:val="18"/>
        </w:rPr>
      </w:pPr>
      <w:r>
        <w:rPr>
          <w:rFonts w:ascii="Arial" w:hAnsi="Arial"/>
          <w:b w:val="false"/>
          <w:bCs w:val="false"/>
          <w:color w:val="333333"/>
          <w:sz w:val="18"/>
          <w:szCs w:val="18"/>
        </w:rPr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FFFFFF"/>
          <w:sz w:val="22"/>
          <w:szCs w:val="22"/>
        </w:rPr>
        <w:t>PARECER PRÉVIO Nº 256/2025</w:t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>
          <w:rFonts w:ascii="Arial" w:hAnsi="Arial"/>
          <w:b/>
          <w:bCs/>
          <w:color w:val="FFFFFF"/>
          <w:sz w:val="22"/>
          <w:szCs w:val="22"/>
        </w:rPr>
      </w:pPr>
      <w:r>
        <w:rPr>
          <w:rFonts w:ascii="Arial" w:hAnsi="Arial"/>
          <w:b/>
          <w:bCs/>
          <w:color w:val="FFFFFF"/>
          <w:sz w:val="22"/>
          <w:szCs w:val="22"/>
        </w:rPr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effect w:val="none"/>
        </w:rPr>
        <w:t>PRESTAÇÃO DE CONTAS DE GOVERNO. ABERTURA DE CRÉDITO SUPLEMENTAR POR DECRETO DO EXECUTIVO. AUSÊNCIA DE AUTORIZAÇÃO LEGISLATIVA. PRINCÍPIO DA LEGALIDADE. LOA. DESAPROVAÇÃO DAS CONTAS.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</w:rPr>
        <w:t>A Prestação de Contas de Governo em análise versa sobre a gestão orçamentária do ente federativo municipal no exercício de 2020, com foco na abertura de créditos adicionais. A principal irregularidade identificada pela Corte de Contas refere-se à emissão de decretos para abertura de créditos suplementares em montante que extrapolou significativamente o limite de 10% originalmente autorizado na Lei Orçamentária Anual (LOA). Durante a instrução processual, o gestor apresentou leis municipais posteriores que elevaram o teto de suplementação para 60% e, posteriormente, para 70% do orçamento. Todavia, o Tribunal verificou que uma parcela substancial desses créditos foi aberta em datas anteriores à vigência das referidas normas autorizativas. A decisão destacou que a lei nova não possui o condão de retroagir para convalidar atos administrativos realizados sem amparo legal prévio, uma vez que a autorização legislativa é condição indispensável para a modificação do orçamento aprovado. O fundamento jurídico central da desaprovação repousa na ofensa direta ao art. 167, inciso V, da Constituição Federal e ao art. 42 da Lei nº 4.320/1964, que consagram os princípios da reserva legal e do devido processo orçamentário. Debateu-se, ainda, a aplicabilidade de precedente anterior da Corte que havia aprovado com ressalvas contas de governo estadual em situação análoga; contudo, a maioria do Pleno firmou entendimento de que tal precedente - decidido por voto de desempate e em contexto específico - não possui força vinculante para sanar graves irregularidades em contas municipais, especialmente após o Tribunal já ter sinalizado a rigidez do controle sobre essa matéria. Assim, o Tribunal de Contas do Estado do Ceará emitiu parecer prévio pela irregularidade das contas, reforçando o caráter pedagógico de que a flexibilidade na gestão orçamentária não autoriza o gestor a esvaziar a competência constitucional do Poder Legislativo.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LinkdaInternet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hyperlink r:id="rId7">
        <w:r>
          <w:rPr>
            <w:rStyle w:val="Strong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80"/>
            <w:spacing w:val="0"/>
            <w:kern w:val="0"/>
            <w:sz w:val="18"/>
            <w:szCs w:val="18"/>
            <w:highlight w:val="white"/>
            <w:u w:val="single"/>
            <w:effect w:val="none"/>
            <w:lang w:val="zxx" w:eastAsia="zxx" w:bidi="zxx"/>
          </w:rPr>
          <w:t>Processo n.º 07481/2021-0.</w:t>
        </w:r>
      </w:hyperlink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80"/>
          <w:spacing w:val="0"/>
          <w:kern w:val="0"/>
          <w:sz w:val="18"/>
          <w:szCs w:val="18"/>
          <w:highlight w:val="white"/>
          <w:u w:val="single"/>
          <w:effect w:val="none"/>
          <w:lang w:val="zxx" w:eastAsia="zxx" w:bidi="zxx"/>
        </w:rPr>
        <w:t xml:space="preserve">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 xml:space="preserve">  Relator(a):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 xml:space="preserve">Cons.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>Soraia Thomaz.   Sessão Pleno de 16/12/2025.   Ata n.º 008/2025.   DO: 23/01/2026.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Arial" w:hAnsi="Arial" w:eastAsia="Arial" w:cs="Times New Roman"/>
          <w:b/>
          <w:bCs/>
          <w:color w:val="C9211E"/>
          <w:sz w:val="18"/>
          <w:szCs w:val="18"/>
        </w:rPr>
      </w:pPr>
      <w:r>
        <w:rPr>
          <w:rFonts w:eastAsia="Arial" w:cs="Times New Roman" w:ascii="Arial" w:hAnsi="Arial"/>
          <w:b/>
          <w:bCs/>
          <w:color w:val="C9211E"/>
          <w:sz w:val="18"/>
          <w:szCs w:val="18"/>
        </w:rPr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40005</wp:posOffset>
            </wp:positionH>
            <wp:positionV relativeFrom="paragraph">
              <wp:posOffset>110490</wp:posOffset>
            </wp:positionV>
            <wp:extent cx="6825615" cy="455295"/>
            <wp:effectExtent l="0" t="0" r="0" b="0"/>
            <wp:wrapNone/>
            <wp:docPr id="5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5" r="-6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left="0" w:right="0" w:hanging="0"/>
        <w:jc w:val="center"/>
        <w:rPr>
          <w:rFonts w:ascii="Arial" w:hAnsi="Arial"/>
          <w:b/>
          <w:bCs/>
          <w:color w:val="C9211E"/>
          <w:sz w:val="18"/>
          <w:szCs w:val="18"/>
          <w:lang w:val="en-US"/>
        </w:rPr>
      </w:pPr>
      <w:r>
        <w:rPr>
          <w:rFonts w:ascii="Arial" w:hAnsi="Arial"/>
          <w:b/>
          <w:bCs/>
          <w:color w:val="C9211E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Arial" w:hAnsi="Arial"/>
          <w:sz w:val="22"/>
          <w:szCs w:val="22"/>
        </w:rPr>
      </w:pPr>
      <w:r>
        <w:rPr>
          <w:rFonts w:eastAsia="Arial" w:cs="Times New Roman" w:ascii="Arial" w:hAnsi="Arial"/>
          <w:b/>
          <w:bCs/>
          <w:color w:val="FFFFFF"/>
          <w:sz w:val="22"/>
          <w:szCs w:val="22"/>
          <w:lang w:val="en-US"/>
        </w:rPr>
        <w:t xml:space="preserve">ACÓRDÃO Nº </w:t>
      </w:r>
      <w:r>
        <w:rPr>
          <w:rFonts w:eastAsia="Calibri" w:cs="Arial" w:ascii="Arial" w:hAnsi="Arial"/>
          <w:b/>
          <w:bCs/>
          <w:color w:val="FFFFFF"/>
          <w:sz w:val="22"/>
          <w:szCs w:val="22"/>
          <w:lang w:val="en-US"/>
        </w:rPr>
        <w:t xml:space="preserve">10239/2025 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Arial" w:hAnsi="Arial" w:eastAsia="Calibri" w:cs="Arial"/>
          <w:b/>
          <w:bCs/>
          <w:color w:val="auto"/>
          <w:sz w:val="18"/>
          <w:szCs w:val="18"/>
          <w:lang w:val="en-US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Arial" w:hAnsi="Arial" w:eastAsia="Calibri" w:cs="Arial"/>
          <w:b/>
          <w:bCs/>
          <w:color w:val="auto"/>
          <w:sz w:val="18"/>
          <w:szCs w:val="18"/>
          <w:lang w:val="en-US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</w:rPr>
        <w:t xml:space="preserve">CONSULTA. TERCEIRIZAÇÃO. LICITAÇÃO. MÃO DE OBRA. PROFISSIONAL DA ÁREA DA SAÚDE. CONTRATO. CONVÊNIO. PROCESSO SELETIVO. COOPERATIVA DE TRABALHO. ATIVIDADE-MEIO. ATIVIDADE-FIM. DESPESA COM PESSOAL. CONTABILIZAÇÃO DOS GASTOS. CLASSIFICAÇÃO ORÇAMENTÁRIA. LIMITE CONSTITUCIONAL. LRF. 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  <w:t>A presente decisão decorre de consulta formulada por gestor municipal acerca da viabilidade jurídica da terceirização de mão de obra em atividades-meio e atividades-fim, bem como da contratação de profissionais via cooperativas e a respectiva contabilização desses gastos perante a Lei de Responsabilidade Fiscal (LRF). O Tribunal reafirmou que a regra constitucional de ingresso no serviço público permanece sendo o concurso público, admitindo-se exceções restritas, como cargos em comissão, contratações temporárias de excepcional interesse público e agentes comunitários de saúde. Quanto à terceirização em atividades-meio (atividades acessórias ou instrumentais não previstas no plano de cargos), a Corte entendeu ser plenamente possível a prática, estabelecendo que tais gastos não devem ser computados para fins de verificação do limite de despesa com pessoal da LRF. No tocante à atividade-fim, a terceirização foi admitida especificamente para ações e serviços de saúde, amparada por teses do Supremo Tribunal Federal (RE 684612), desde que comprovado o déficit de profissionais e o caráter complementar da medida. Nesses casos de atividade-fim e demais hipóteses residuais, os gastos devem obrigatoriamente ser contabilizados como "Outras Despesas de Pessoal", conforme estabelece o art. 18, § 1º, da LRF. Sobre a contratação de cooperativas, o Tribunal de Contas do Estado do Ceará consignou a necessidade de licitação prévia e rigorosa observância à Lei federal nº 14.133/2021, com especial atenção à regularidade dessas entidades e, em casos de credenciamento, à adoção de critérios objetivos para distribuição de demanda e manutenção de editais de chamamento atualizados. A decisão possui caráter normativo para as administrações sob jurisdição desta Corte, servindo como pré-julgamento de tese, nos termos da Lei Orgânica.</w:t>
      </w:r>
    </w:p>
    <w:p>
      <w:pPr>
        <w:pStyle w:val="Normal"/>
        <w:widowControl/>
        <w:spacing w:lineRule="auto" w:line="240"/>
        <w:ind w:left="0" w:right="0" w:hanging="0"/>
        <w:jc w:val="both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pacing w:lineRule="auto" w:line="240"/>
        <w:ind w:left="0" w:right="0" w:hanging="0"/>
        <w:jc w:val="both"/>
        <w:rPr/>
      </w:pPr>
      <w:hyperlink r:id="rId9">
        <w:r>
          <w:rPr>
            <w:rStyle w:val="Strong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18"/>
            <w:szCs w:val="18"/>
            <w:highlight w:val="white"/>
            <w:u w:val="none"/>
            <w:effect w:val="none"/>
            <w:lang w:val="en-US" w:eastAsia="zh-CN" w:bidi="hi-IN"/>
          </w:rPr>
          <w:t>Processo n.º 15857/2021-3.</w:t>
        </w:r>
      </w:hyperlink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18"/>
          <w:szCs w:val="18"/>
          <w:highlight w:val="white"/>
          <w:u w:val="none"/>
          <w:effect w:val="none"/>
          <w:lang w:val="en-US" w:eastAsia="zh-CN" w:bidi="hi-IN"/>
        </w:rPr>
        <w:t xml:space="preserve">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 xml:space="preserve">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>Relator(a): Cons.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 xml:space="preserve"> Valdomiro Távora.  Sessão Pleno de 16/12/2025.  Ata n.º 009/2025.  DO: 23/01/2026.</w:t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-2540</wp:posOffset>
            </wp:positionH>
            <wp:positionV relativeFrom="paragraph">
              <wp:posOffset>117475</wp:posOffset>
            </wp:positionV>
            <wp:extent cx="6825615" cy="433705"/>
            <wp:effectExtent l="0" t="0" r="0" b="0"/>
            <wp:wrapNone/>
            <wp:docPr id="6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135" r="-6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>
          <w:rFonts w:ascii="Arial" w:hAnsi="Arial"/>
          <w:sz w:val="22"/>
          <w:szCs w:val="22"/>
        </w:rPr>
      </w:pPr>
      <w:bookmarkStart w:id="2" w:name="docs-internal-guid-ffb8d685-7fff-2a25-32"/>
      <w:bookmarkEnd w:id="2"/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</w:rPr>
        <w:t>ACÓRDÃO Nº 10751/2025</w:t>
      </w:r>
      <w:r>
        <w:rPr>
          <w:rFonts w:ascii="Arial" w:hAnsi="Arial"/>
          <w:b/>
          <w:bCs/>
          <w:color w:val="FFFFFF"/>
          <w:sz w:val="22"/>
          <w:szCs w:val="22"/>
        </w:rPr>
        <w:t xml:space="preserve"> </w:t>
      </w:r>
    </w:p>
    <w:p>
      <w:pPr>
        <w:pStyle w:val="Corpodotexto"/>
        <w:widowControl/>
        <w:spacing w:lineRule="auto" w:line="240"/>
        <w:ind w:left="0" w:right="0" w:hanging="0"/>
        <w:jc w:val="center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widowControl w:val="false"/>
        <w:spacing w:lineRule="auto" w:line="24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effect w:val="none"/>
        </w:rPr>
        <w:t>REPRESENTAÇÃO. INEXIGIBILIDADE DE LICITAÇÃO. CONTRATAÇÃO DIRETA. SINGULARIDADE DO OBJETO. PESSOA JURÍDICA. SERVIÇOS DE ASSESSORIA E CONSULTORIA JURÍDICA. LICITAÇÃO. CONTRATO. PRINCÍPIO DE ECONOMICIDADE. PROCEDÊNCIA PARCIAL. DETERMINAÇÃO.</w:t>
      </w:r>
    </w:p>
    <w:p>
      <w:pPr>
        <w:pStyle w:val="Normal"/>
        <w:widowControl w:val="false"/>
        <w:spacing w:lineRule="auto" w:line="240"/>
        <w:ind w:left="0" w:right="0" w:hanging="0"/>
        <w:jc w:val="both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color w:val="auto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</w:rPr>
        <w:t>Representação para apurar possíveis irregularidades na contratação direta, por inexigibilidade de licitação, de sociedade de advogados para prestação de serviços de assessoria e consultoria jurídica em licitações e contratos. A premissa fática centrou-se na suposta incompatibilidade dos valores contratados com os praticados no mercado e na ausência de singularidade do objeto para fins de contratação direta. As irregularidades identificadas pela unidade técnica apontaram que os valores excederam significativos percentuais em relação a contratações similares, configurando afronta ao princípio da economicidade e ao art. 26, parágrafo único, inciso III, da Lei nº 8.666/1993. No debate jurídico, discutiu-se a repercussão da Lei nº 14.039/2020, que alterou o Estatuto da Advocacia para classificar os serviços advocatícios como técnicos e singulares. A Corte, fundamentando-se em jurisprudência consolidada, estabeleceu que a notória especialização do profissional (critério subjetivo) não confere, por si só, natureza singular a serviços rotineiros, cotidianos e padronizáveis (critério objetivo), sob pena de esvaziamento do dever constitucional de licitar previsto no art. 37, inciso XXI, da Constituição Federal. O Tribunal reafirmou que a inexigibilidade é uma exceção que deve ser interpretada restritivamente, exigindo a inviabilidade de competição e a demonstração de que o objeto possui características únicas que impedem a comparação objetiva de preços. O Pleno do Tribunal de Contas do Estado do Ceará firmou a tese segundo a qual “a contratação de serviços advocatícios por inexigibilidade de licitação deve observar as diretrizes do Tema 309 do STF, adaptadas à legislação em vigor (Art. 72, c/c o §3º e alínea “e” do inciso III do art. 74 da Lei Federal 14.133/21)”. Por fim, a decisão enfatizou que serviços de consultoria continuada em licitações e contratos possuem natureza comum e devem ser submetidos a certame licitatório, servindo o caso como orientação pedagógica aos gestores para que evitem a contratação direta incondicional baseada apenas na especialização do prestador.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u w:val="none"/>
          <w:effect w:val="none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hyperlink r:id="rId11">
        <w:r>
          <w:rPr>
            <w:rStyle w:val="Strong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18"/>
            <w:szCs w:val="18"/>
            <w:highlight w:val="white"/>
            <w:u w:val="none"/>
            <w:effect w:val="none"/>
            <w:lang w:val="en-US" w:eastAsia="zh-CN" w:bidi="hi-IN"/>
          </w:rPr>
          <w:t>Processo n.º 06774/2021-9</w:t>
        </w:r>
      </w:hyperlink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18"/>
          <w:szCs w:val="18"/>
          <w:highlight w:val="white"/>
          <w:u w:val="none"/>
          <w:effect w:val="none"/>
          <w:lang w:val="en-US" w:eastAsia="zh-CN" w:bidi="hi-IN"/>
        </w:rPr>
        <w:t xml:space="preserve">.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18"/>
          <w:szCs w:val="18"/>
          <w:u w:val="none"/>
          <w:effect w:val="none"/>
        </w:rPr>
        <w:t xml:space="preserve">Relator(a): Auditor Manassés Pedrosa. Sessão Pleno de 16/12/2025. Ata n.º 009/2025. 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>DO: 23/01/2026.</w:t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1" distT="0" distB="0" distL="0" distR="0" simplePos="0" locked="0" layoutInCell="1" allowOverlap="1" relativeHeight="10">
            <wp:simplePos x="0" y="0"/>
            <wp:positionH relativeFrom="column">
              <wp:posOffset>-2540</wp:posOffset>
            </wp:positionH>
            <wp:positionV relativeFrom="paragraph">
              <wp:posOffset>117475</wp:posOffset>
            </wp:positionV>
            <wp:extent cx="6825615" cy="433705"/>
            <wp:effectExtent l="0" t="0" r="0" b="0"/>
            <wp:wrapNone/>
            <wp:docPr id="7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6" t="-135" r="-6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</w:r>
    </w:p>
    <w:p>
      <w:pPr>
        <w:pStyle w:val="Corpodotexto"/>
        <w:widowControl/>
        <w:spacing w:lineRule="auto" w:line="240" w:before="0" w:after="0"/>
        <w:ind w:left="0" w:right="0" w:hanging="0"/>
        <w:jc w:val="center"/>
        <w:rPr>
          <w:rFonts w:ascii="Arial" w:hAnsi="Arial"/>
        </w:rPr>
      </w:pPr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</w:rPr>
        <w:t>PARECER PRÉVIO Nº 247/2025</w:t>
      </w:r>
      <w:r>
        <w:rPr>
          <w:rFonts w:ascii="Arial" w:hAnsi="Arial"/>
          <w:b/>
          <w:bCs/>
          <w:color w:val="FFFFFF"/>
          <w:sz w:val="22"/>
          <w:szCs w:val="22"/>
        </w:rPr>
        <w:t xml:space="preserve"> </w:t>
      </w:r>
    </w:p>
    <w:p>
      <w:pPr>
        <w:pStyle w:val="Corpodotexto"/>
        <w:widowControl/>
        <w:spacing w:lineRule="auto" w:line="240"/>
        <w:ind w:left="0" w:right="0" w:hanging="0"/>
        <w:jc w:val="center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effect w:val="none"/>
        </w:rPr>
        <w:t>PRESTAÇÃO DE CONTAS DE GOVERNO. CONSIGNAÇÃO PREVIDENCIÁRIA. REPASSE INSS. PARCELAMENTO DE DÉBITO. PANDEMIA. COVID-19. REGULARES COM RESSALVA. RECOMENDAÇÃO.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Style w:val="Strong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240" w:before="12" w:after="12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</w:rPr>
        <w:t>Prestação de Contas de Governo referente ao exercício financeiro de 2021 cujo ponto central da controvérsia reside na falha relativa ao não repasse integral e tempestivo, ao Instituto Nacional do Seguro Social (INSS), dos valores consignados da remuneração dos servidores a título de contribuição previdenciária. Embora a unidade técnica e o Ministério Público especial tenham apontado a gravidade da conduta, que em tese configura apropriação indébita e violação à Lei de Responsabilidade Fiscal, a defesa demonstrou a regularização da situação fiscal do ente mediante adesão a parcelamento excepcional, fundamentado no art. 116 do Ato das Disposições Constitucionais Transitórias (incluído pela Emenda Constitucional nº 113/2021). A apreciação foi marcada por divergência, na qual a corrente vencida defendeu a irregularidade das contas em razão da materialidade dos valores retidos e não repassados no prazo legal. Entretanto, prevaleceu o entendimento da Relatoria de que a comprovação da regularidade fiscal via parcelamento, analisada sob a ótica das dificuldades financeiras impostas pela pandemia de Covid-19, constitui fator mitigador suficiente para afastar a desaprovação das contas. Diante do exposto, o Pleno do Tribunal de Contas do Estado do Ceará emitiu Parecer Prévio favorável à aprovação das contas, consignando ressalvas quanto à gestão previdenciária e expedindo recomendações à atual gestão para que incremente a arrecadação da Dívida Ativa e assegure o repasse integral das consignações.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hyperlink r:id="rId13">
        <w:r>
          <w:rPr>
            <w:rStyle w:val="Strong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18"/>
            <w:szCs w:val="18"/>
            <w:highlight w:val="white"/>
            <w:u w:val="none"/>
            <w:effect w:val="none"/>
            <w:lang w:val="en-US" w:eastAsia="zh-CN" w:bidi="hi-IN"/>
          </w:rPr>
          <w:t xml:space="preserve">Processo n.º 08789/2022-6. </w:t>
        </w:r>
      </w:hyperlink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18"/>
          <w:szCs w:val="18"/>
          <w:highlight w:val="white"/>
          <w:u w:val="none"/>
          <w:effect w:val="none"/>
          <w:lang w:val="en-US" w:eastAsia="zh-CN" w:bidi="hi-IN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18"/>
          <w:szCs w:val="18"/>
          <w:u w:val="none"/>
          <w:effect w:val="none"/>
        </w:rPr>
        <w:t xml:space="preserve">  Relator(a):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 xml:space="preserve">Cons.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18"/>
          <w:szCs w:val="18"/>
          <w:u w:val="none"/>
          <w:effect w:val="none"/>
        </w:rPr>
        <w:t xml:space="preserve">Onélia Leite.    Sessão Pleno de 16/12/2025.    Ata n.º 009/2025.   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highlight w:val="white"/>
          <w:u w:val="none"/>
          <w:effect w:val="none"/>
          <w:lang w:val="en-US"/>
        </w:rPr>
        <w:t>DO: 23/01/2026.</w:t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</w:p>
    <w:p>
      <w:pPr>
        <w:pStyle w:val="Normal"/>
        <w:widowControl/>
        <w:spacing w:lineRule="auto" w:line="240"/>
        <w:ind w:left="0" w:right="0" w:hanging="0"/>
        <w:jc w:val="both"/>
        <w:rPr/>
      </w:pPr>
      <w:r>
        <w:rPr/>
      </w:r>
    </w:p>
    <w:sectPr>
      <w:headerReference w:type="default" r:id="rId14"/>
      <w:footerReference w:type="default" r:id="rId15"/>
      <w:type w:val="nextPage"/>
      <w:pgSz w:w="11906" w:h="16838"/>
      <w:pgMar w:left="580" w:right="586" w:gutter="0" w:header="1134" w:top="1700" w:footer="918" w:bottom="14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-350520</wp:posOffset>
          </wp:positionH>
          <wp:positionV relativeFrom="paragraph">
            <wp:posOffset>152400</wp:posOffset>
          </wp:positionV>
          <wp:extent cx="7542530" cy="583565"/>
          <wp:effectExtent l="0" t="0" r="0" b="0"/>
          <wp:wrapNone/>
          <wp:docPr id="8" name="Figura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66" r="-5" b="-66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40"/>
      <w:ind w:left="0" w:right="0" w:hanging="0"/>
      <w:jc w:val="both"/>
      <w:rPr>
        <w:rFonts w:ascii="Arial" w:hAnsi="Arial" w:eastAsia="Arial" w:cs="Times New Roman"/>
        <w:b/>
        <w:bCs/>
        <w:color w:val="auto"/>
        <w:sz w:val="22"/>
        <w:szCs w:val="22"/>
      </w:rPr>
    </w:pPr>
    <w:r>
      <w:rPr>
        <w:rFonts w:eastAsia="Arial" w:cs="Times New Roman" w:ascii="Arial" w:hAnsi="Arial"/>
        <w:b/>
        <w:bCs/>
        <w:color w:val="auto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imSun" w:cs="Lucida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Linkdainternetvisitado">
    <w:name w:val="FollowedHyperlink"/>
    <w:qFormat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20"/>
        <w:tab w:val="center" w:pos="5370" w:leader="none"/>
        <w:tab w:val="right" w:pos="1074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5370" w:leader="none"/>
        <w:tab w:val="right" w:pos="10740" w:leader="none"/>
      </w:tabs>
    </w:pPr>
    <w:rPr/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www.tce.ce.gov.br/contexto-consulta-geral?texto=15895/2021-0&amp;tipo=processos" TargetMode="External"/><Relationship Id="rId6" Type="http://schemas.openxmlformats.org/officeDocument/2006/relationships/image" Target="media/image4.jpeg"/><Relationship Id="rId7" Type="http://schemas.openxmlformats.org/officeDocument/2006/relationships/hyperlink" Target="https://www.tce.ce.gov.br/contexto-consulta-geral?texto=07481/2021-0&amp;tipo=processos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www.tce.ce.gov.br/contexto-consulta-geral?texto=15857/2021-3&amp;tipo=processos" TargetMode="External"/><Relationship Id="rId10" Type="http://schemas.openxmlformats.org/officeDocument/2006/relationships/image" Target="media/image4.jpeg"/><Relationship Id="rId11" Type="http://schemas.openxmlformats.org/officeDocument/2006/relationships/hyperlink" Target="https://www.tce.ce.gov.br/contexto-consulta-geral?texto=06774/2021-9&amp;tipo=processos" TargetMode="External"/><Relationship Id="rId12" Type="http://schemas.openxmlformats.org/officeDocument/2006/relationships/image" Target="media/image4.jpeg"/><Relationship Id="rId13" Type="http://schemas.openxmlformats.org/officeDocument/2006/relationships/hyperlink" Target="https://www.tce.ce.gov.br/contexto-consulta-geral?texto=08789/2022-6&amp;tipo=processos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LibreOffice/7.5.6.2$Windows_X86_64 LibreOffice_project/f654817fb68d6d4600d7d2f6b647e47729f55f15</Application>
  <AppVersion>15.0000</AppVersion>
  <Pages>3</Pages>
  <Words>1665</Words>
  <Characters>10120</Characters>
  <CharactersWithSpaces>12059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2025-12-17T09:17:33Z</dcterms:created>
  <dc:creator/>
  <dc:description/>
  <dc:language>pt-BR</dc:language>
  <cp:lastModifiedBy/>
  <dcterms:modified xsi:type="dcterms:W3CDTF">2026-02-20T11:15:37Z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