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jpeg" ContentType="image/jpeg"/>
  <Override PartName="/word/media/image5.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fontTable.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keepNext w:val="false"/>
        <w:keepLines w:val="false"/>
        <w:widowControl w:val="false"/>
        <w:spacing w:lineRule="auto" w:line="276" w:before="0" w:after="0"/>
        <w:rPr>
          <w:rFonts w:ascii="Arial" w:hAnsi="Arial" w:eastAsia="Arial" w:cs="Arial"/>
          <w:b w:val="false"/>
          <w:bCs w:val="false"/>
          <w:color w:val="000000"/>
          <w:sz w:val="22"/>
          <w:szCs w:val="22"/>
        </w:rPr>
      </w:pPr>
      <w:r>
        <w:rPr>
          <w:rFonts w:eastAsia="Arial" w:cs="Arial" w:ascii="Arial" w:hAnsi="Arial"/>
          <w:b w:val="false"/>
          <w:bCs w:val="false"/>
          <w:color w:val="000000"/>
          <w:sz w:val="22"/>
          <w:szCs w:val="22"/>
        </w:rPr>
        <w:drawing>
          <wp:anchor behindDoc="1" distT="0" distB="0" distL="0" distR="0" simplePos="0" locked="0" layoutInCell="1" allowOverlap="1" relativeHeight="8">
            <wp:simplePos x="0" y="0"/>
            <wp:positionH relativeFrom="column">
              <wp:posOffset>-368300</wp:posOffset>
            </wp:positionH>
            <wp:positionV relativeFrom="paragraph">
              <wp:posOffset>-1079500</wp:posOffset>
            </wp:positionV>
            <wp:extent cx="7560310" cy="1610995"/>
            <wp:effectExtent l="0" t="0" r="0" b="0"/>
            <wp:wrapNone/>
            <wp:docPr id="1" name="image5.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 title=""/>
                    <pic:cNvPicPr>
                      <a:picLocks noChangeAspect="1" noChangeArrowheads="1"/>
                    </pic:cNvPicPr>
                  </pic:nvPicPr>
                  <pic:blipFill>
                    <a:blip r:embed="rId2"/>
                    <a:srcRect l="-5" t="-22" r="-5" b="-22"/>
                    <a:stretch>
                      <a:fillRect/>
                    </a:stretch>
                  </pic:blipFill>
                  <pic:spPr bwMode="auto">
                    <a:xfrm>
                      <a:off x="0" y="0"/>
                      <a:ext cx="7560310" cy="1610995"/>
                    </a:xfrm>
                    <a:prstGeom prst="rect">
                      <a:avLst/>
                    </a:prstGeom>
                  </pic:spPr>
                </pic:pic>
              </a:graphicData>
            </a:graphic>
          </wp:anchor>
        </w:drawing>
      </w:r>
    </w:p>
    <w:p>
      <w:pPr>
        <w:pStyle w:val="Normal"/>
        <w:spacing w:lineRule="auto" w:line="192"/>
        <w:rPr>
          <w:rFonts w:ascii="Arial" w:hAnsi="Arial" w:eastAsia="Arial" w:cs="Arial"/>
          <w:sz w:val="24"/>
          <w:szCs w:val="24"/>
        </w:rPr>
      </w:pPr>
      <w:r>
        <w:rPr>
          <w:rFonts w:eastAsia="Arial" w:cs="Arial" w:ascii="Arial" w:hAnsi="Arial"/>
          <w:sz w:val="24"/>
          <w:szCs w:val="24"/>
        </w:rPr>
      </w:r>
    </w:p>
    <w:p>
      <w:pPr>
        <w:pStyle w:val="Normal"/>
        <w:rPr>
          <w:rFonts w:ascii="Arial" w:hAnsi="Arial" w:eastAsia="Arial" w:cs="Arial"/>
          <w:b/>
          <w:bCs/>
          <w:i/>
          <w:i/>
          <w:iCs/>
          <w:sz w:val="18"/>
          <w:szCs w:val="18"/>
        </w:rPr>
      </w:pPr>
      <w:r>
        <w:rPr>
          <w:rFonts w:eastAsia="Arial" w:cs="Arial" w:ascii="Arial" w:hAnsi="Arial"/>
          <w:b/>
          <w:bCs/>
          <w:i/>
          <w:iCs/>
          <w:sz w:val="18"/>
          <w:szCs w:val="18"/>
        </w:rPr>
        <w:t xml:space="preserve">                                                                                                                               </w:t>
      </w:r>
    </w:p>
    <w:p>
      <w:pPr>
        <w:pStyle w:val="Normal"/>
        <w:rPr>
          <w:rFonts w:ascii="Arial" w:hAnsi="Arial"/>
        </w:rPr>
      </w:pPr>
      <w:r>
        <w:rPr>
          <w:rFonts w:eastAsia="Arial" w:cs="Arial" w:ascii="Arial" w:hAnsi="Arial"/>
          <w:b/>
          <w:bCs/>
          <w:i/>
          <w:iCs/>
          <w:sz w:val="18"/>
          <w:szCs w:val="18"/>
        </w:rPr>
        <w:t xml:space="preserve">                                                                                                                                                       </w:t>
      </w:r>
      <w:r>
        <w:rPr>
          <w:rFonts w:eastAsia="Arial" w:cs="Arial" w:ascii="Arial" w:hAnsi="Arial"/>
          <w:b/>
          <w:bCs/>
          <w:i/>
          <w:iCs/>
          <w:sz w:val="20"/>
          <w:szCs w:val="20"/>
        </w:rPr>
        <w:t xml:space="preserve">Fortaleza (CE), Ano 2026 – Nº 07 </w:t>
      </w:r>
    </w:p>
    <w:p>
      <w:pPr>
        <w:pStyle w:val="Normal"/>
        <w:rPr>
          <w:rFonts w:ascii="Arial" w:hAnsi="Arial" w:eastAsia="Arial" w:cs="Arial"/>
          <w:b/>
          <w:bCs/>
          <w:i/>
          <w:i/>
          <w:iCs/>
          <w:sz w:val="18"/>
          <w:szCs w:val="18"/>
        </w:rPr>
      </w:pPr>
      <w:r>
        <w:rPr>
          <w:rFonts w:eastAsia="Arial" w:cs="Arial" w:ascii="Arial" w:hAnsi="Arial"/>
          <w:b/>
          <w:bCs/>
          <w:i/>
          <w:iCs/>
          <w:sz w:val="18"/>
          <w:szCs w:val="18"/>
        </w:rPr>
      </w:r>
    </w:p>
    <w:p>
      <w:pPr>
        <w:pStyle w:val="Normal"/>
        <w:spacing w:lineRule="auto" w:line="240"/>
        <w:rPr>
          <w:rFonts w:ascii="Arial" w:hAnsi="Arial" w:eastAsia="Arial" w:cs="Arial"/>
          <w:sz w:val="24"/>
          <w:szCs w:val="24"/>
        </w:rPr>
      </w:pPr>
      <w:r>
        <w:rPr>
          <w:rFonts w:eastAsia="Arial" w:cs="Arial" w:ascii="Arial" w:hAnsi="Arial"/>
          <w:sz w:val="24"/>
          <w:szCs w:val="24"/>
        </w:rPr>
        <w:drawing>
          <wp:anchor behindDoc="1" distT="0" distB="0" distL="0" distR="0" simplePos="0" locked="0" layoutInCell="1" allowOverlap="1" relativeHeight="10">
            <wp:simplePos x="0" y="0"/>
            <wp:positionH relativeFrom="column">
              <wp:posOffset>68580</wp:posOffset>
            </wp:positionH>
            <wp:positionV relativeFrom="paragraph">
              <wp:posOffset>30480</wp:posOffset>
            </wp:positionV>
            <wp:extent cx="6677660" cy="1448435"/>
            <wp:effectExtent l="0" t="0" r="0" b="0"/>
            <wp:wrapNone/>
            <wp:docPr id="2" name="image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title=""/>
                    <pic:cNvPicPr>
                      <a:picLocks noChangeAspect="1" noChangeArrowheads="1"/>
                    </pic:cNvPicPr>
                  </pic:nvPicPr>
                  <pic:blipFill>
                    <a:blip r:embed="rId3"/>
                    <a:srcRect l="-5" t="-23" r="-5" b="-23"/>
                    <a:stretch>
                      <a:fillRect/>
                    </a:stretch>
                  </pic:blipFill>
                  <pic:spPr bwMode="auto">
                    <a:xfrm>
                      <a:off x="0" y="0"/>
                      <a:ext cx="6677660" cy="1448435"/>
                    </a:xfrm>
                    <a:prstGeom prst="rect">
                      <a:avLst/>
                    </a:prstGeom>
                  </pic:spPr>
                </pic:pic>
              </a:graphicData>
            </a:graphic>
          </wp:anchor>
        </w:drawing>
      </w:r>
    </w:p>
    <w:p>
      <w:pPr>
        <w:pStyle w:val="Normal"/>
        <w:spacing w:lineRule="auto" w:line="240"/>
        <w:ind w:hanging="0" w:start="280" w:end="260"/>
        <w:jc w:val="both"/>
        <w:rPr>
          <w:rFonts w:ascii="Arial" w:hAnsi="Arial" w:eastAsia="Arial" w:cs="Arial"/>
          <w:b/>
          <w:bCs/>
          <w:sz w:val="24"/>
          <w:szCs w:val="24"/>
        </w:rPr>
      </w:pPr>
      <w:r>
        <w:rPr>
          <w:rFonts w:eastAsia="Arial" w:cs="Arial" w:ascii="Arial" w:hAnsi="Arial"/>
          <w:b/>
          <w:bCs/>
          <w:sz w:val="24"/>
          <w:szCs w:val="24"/>
        </w:rPr>
        <w:t xml:space="preserve">Este Informativo contém informações de decisões proferidas pelos Colegiados do TCE, que receberam indicação de relevância sob o prisma jurisprudencial no período de julho de 2026. As informações aqui apresentadas não constituem, todavia, o resumo oficial da decisão proferida pelo Tribunal nem representam, necessariamente, o posicionamento prevalente do TCE. O objetivo é facilitar ao interessado o acompanhamento dos acórdãos mais importantes do Tribunal. Para aprofundamento, o leitor pode acessar o inteiro teor das deliberações clicando em cima do número do processo. </w:t>
      </w:r>
    </w:p>
    <w:p>
      <w:pPr>
        <w:pStyle w:val="Normal"/>
        <w:spacing w:lineRule="auto" w:line="240"/>
        <w:ind w:hanging="0" w:start="280" w:end="260"/>
        <w:jc w:val="both"/>
        <w:rPr>
          <w:rFonts w:ascii="Arial" w:hAnsi="Arial" w:eastAsia="Arial" w:cs="Arial"/>
          <w:sz w:val="18"/>
          <w:szCs w:val="18"/>
        </w:rPr>
      </w:pPr>
      <w:r>
        <w:rPr>
          <w:rFonts w:eastAsia="Arial" w:cs="Arial" w:ascii="Arial" w:hAnsi="Arial"/>
          <w:sz w:val="18"/>
          <w:szCs w:val="18"/>
        </w:rPr>
      </w:r>
    </w:p>
    <w:p>
      <w:pPr>
        <w:pStyle w:val="Normal"/>
        <w:spacing w:lineRule="auto" w:line="240" w:before="0" w:after="0"/>
        <w:ind w:hanging="0" w:start="280" w:end="260"/>
        <w:jc w:val="both"/>
        <w:rPr>
          <w:rFonts w:ascii="Arial" w:hAnsi="Arial" w:eastAsia="Arial" w:cs="Arial"/>
          <w:sz w:val="18"/>
          <w:szCs w:val="18"/>
        </w:rPr>
      </w:pPr>
      <w:r>
        <w:rPr>
          <w:rFonts w:eastAsia="Arial" w:cs="Arial" w:ascii="Arial" w:hAnsi="Arial"/>
          <w:sz w:val="18"/>
          <w:szCs w:val="18"/>
        </w:rPr>
      </w:r>
    </w:p>
    <w:p>
      <w:pPr>
        <w:pStyle w:val="Normal"/>
        <w:spacing w:lineRule="auto" w:line="240" w:before="0" w:after="0"/>
        <w:ind w:hanging="0" w:start="280" w:end="260"/>
        <w:jc w:val="both"/>
        <w:rPr>
          <w:rFonts w:ascii="Arial" w:hAnsi="Arial" w:eastAsia="Arial" w:cs="Arial"/>
          <w:sz w:val="18"/>
          <w:szCs w:val="18"/>
        </w:rPr>
      </w:pPr>
      <w:r>
        <w:rPr>
          <w:rFonts w:eastAsia="Arial" w:cs="Arial" w:ascii="Arial" w:hAnsi="Arial"/>
          <w:sz w:val="18"/>
          <w:szCs w:val="18"/>
        </w:rPr>
        <w:drawing>
          <wp:anchor behindDoc="1" distT="0" distB="0" distL="0" distR="0" simplePos="0" locked="0" layoutInCell="1" allowOverlap="1" relativeHeight="11">
            <wp:simplePos x="0" y="0"/>
            <wp:positionH relativeFrom="column">
              <wp:posOffset>21590</wp:posOffset>
            </wp:positionH>
            <wp:positionV relativeFrom="paragraph">
              <wp:posOffset>7620</wp:posOffset>
            </wp:positionV>
            <wp:extent cx="6746875" cy="415290"/>
            <wp:effectExtent l="0" t="0" r="0" b="0"/>
            <wp:wrapNone/>
            <wp:docPr id="3" name="image4.jp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g" descr="" title=""/>
                    <pic:cNvPicPr>
                      <a:picLocks noChangeAspect="1" noChangeArrowheads="1"/>
                    </pic:cNvPicPr>
                  </pic:nvPicPr>
                  <pic:blipFill>
                    <a:blip r:embed="rId4"/>
                    <a:srcRect l="-6" t="-157" r="-6" b="-157"/>
                    <a:stretch>
                      <a:fillRect/>
                    </a:stretch>
                  </pic:blipFill>
                  <pic:spPr bwMode="auto">
                    <a:xfrm>
                      <a:off x="0" y="0"/>
                      <a:ext cx="6746875" cy="415290"/>
                    </a:xfrm>
                    <a:prstGeom prst="rect">
                      <a:avLst/>
                    </a:prstGeom>
                  </pic:spPr>
                </pic:pic>
              </a:graphicData>
            </a:graphic>
          </wp:anchor>
        </w:drawing>
      </w:r>
    </w:p>
    <w:p>
      <w:pPr>
        <w:pStyle w:val="Normal"/>
        <w:spacing w:lineRule="auto" w:line="240" w:before="0" w:after="0"/>
        <w:jc w:val="center"/>
        <w:rPr>
          <w:rFonts w:ascii="Arial" w:hAnsi="Arial" w:eastAsia="Arial" w:cs="Arial"/>
          <w:b/>
          <w:bCs/>
          <w:color w:val="FFFFFF"/>
          <w:sz w:val="22"/>
          <w:szCs w:val="22"/>
        </w:rPr>
      </w:pPr>
      <w:r>
        <w:rPr>
          <w:rFonts w:eastAsia="Arial" w:cs="Arial" w:ascii="Arial" w:hAnsi="Arial"/>
          <w:b/>
          <w:bCs/>
          <w:color w:val="FFFFFF"/>
          <w:sz w:val="22"/>
          <w:szCs w:val="22"/>
        </w:rPr>
        <w:t>ACÓRDÃO Nº 5770/2026</w:t>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jc w:val="both"/>
        <w:rPr>
          <w:rFonts w:ascii="Arial" w:hAnsi="Arial" w:eastAsia="Arial" w:cs="Arial"/>
          <w:b/>
          <w:bCs/>
          <w:color w:val="auto"/>
          <w:sz w:val="24"/>
          <w:szCs w:val="24"/>
        </w:rPr>
      </w:pPr>
      <w:r>
        <w:rPr>
          <w:rFonts w:eastAsia="Arial" w:cs="Arial" w:ascii="Arial" w:hAnsi="Arial"/>
          <w:b/>
          <w:bCs/>
          <w:color w:val="auto"/>
          <w:sz w:val="24"/>
          <w:szCs w:val="24"/>
        </w:rPr>
        <w:t xml:space="preserve">CONSULTA. </w:t>
      </w:r>
      <w:r>
        <w:rPr>
          <w:rFonts w:eastAsia="Arial" w:cs="Arial" w:ascii="Arial" w:hAnsi="Arial"/>
          <w:b/>
          <w:bCs/>
          <w:color w:val="auto"/>
          <w:sz w:val="24"/>
          <w:szCs w:val="24"/>
        </w:rPr>
        <w:t xml:space="preserve">VEREADOR. </w:t>
      </w:r>
      <w:r>
        <w:rPr>
          <w:rFonts w:eastAsia="Arial" w:cs="Arial" w:ascii="Arial" w:hAnsi="Arial"/>
          <w:b/>
          <w:bCs/>
          <w:color w:val="auto"/>
          <w:sz w:val="24"/>
          <w:szCs w:val="24"/>
        </w:rPr>
        <w:t xml:space="preserve">SUBSÍDIO. </w:t>
      </w:r>
      <w:r>
        <w:rPr>
          <w:rFonts w:eastAsia="Arial" w:cs="Arial" w:ascii="Arial" w:hAnsi="Arial"/>
          <w:b/>
          <w:bCs/>
          <w:color w:val="auto"/>
          <w:sz w:val="24"/>
          <w:szCs w:val="24"/>
        </w:rPr>
        <w:t>MAJORAÇÃO</w:t>
      </w:r>
      <w:r>
        <w:rPr>
          <w:rFonts w:eastAsia="Arial" w:cs="Arial" w:ascii="Arial" w:hAnsi="Arial"/>
          <w:b/>
          <w:bCs/>
          <w:color w:val="auto"/>
          <w:sz w:val="24"/>
          <w:szCs w:val="24"/>
        </w:rPr>
        <w:t xml:space="preserve"> ESCALONADA.</w:t>
      </w:r>
      <w:r>
        <w:rPr>
          <w:rFonts w:eastAsia="Arial" w:cs="Arial" w:ascii="Arial" w:hAnsi="Arial"/>
          <w:b/>
          <w:bCs/>
          <w:color w:val="auto"/>
          <w:sz w:val="24"/>
          <w:szCs w:val="24"/>
        </w:rPr>
        <w:t xml:space="preserve"> PRINCÍPIO DA ANTERIORIDADE. </w:t>
      </w:r>
      <w:r>
        <w:rPr>
          <w:rFonts w:eastAsia="Arial" w:cs="Arial" w:ascii="Arial" w:hAnsi="Arial"/>
          <w:b/>
          <w:bCs/>
          <w:color w:val="auto"/>
          <w:sz w:val="24"/>
          <w:szCs w:val="24"/>
        </w:rPr>
        <w:t xml:space="preserve">PRINCÍPIO DA MORALIDADE. PRINCÍPIO DA IMPESSOALIDADE. </w:t>
      </w:r>
      <w:r>
        <w:rPr>
          <w:rFonts w:eastAsia="Arial" w:cs="Arial" w:ascii="Arial" w:hAnsi="Arial"/>
          <w:b/>
          <w:bCs/>
          <w:color w:val="auto"/>
          <w:sz w:val="24"/>
          <w:szCs w:val="24"/>
        </w:rPr>
        <w:t>POSSIBILIDADE.</w:t>
      </w:r>
    </w:p>
    <w:p>
      <w:pPr>
        <w:pStyle w:val="Normal"/>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BodyText"/>
        <w:spacing w:lineRule="auto" w:line="240" w:before="0" w:after="0"/>
        <w:jc w:val="both"/>
        <w:rPr/>
      </w:pPr>
      <w:r>
        <w:rPr>
          <w:rFonts w:ascii="Arial" w:hAnsi="Arial"/>
          <w:color w:val="auto"/>
          <w:sz w:val="20"/>
          <w:szCs w:val="20"/>
        </w:rPr>
        <w:t>Consulta formulada acerca da possibilidade de fixação escalonada do subsídio dos vereadores para a legislatura subsequente. A controvérsia versou sobre a compatibilidade d</w:t>
      </w:r>
      <w:r>
        <w:rPr>
          <w:rFonts w:ascii="Arial" w:hAnsi="Arial"/>
          <w:color w:val="auto"/>
          <w:sz w:val="20"/>
          <w:szCs w:val="20"/>
        </w:rPr>
        <w:t>a</w:t>
      </w:r>
      <w:r>
        <w:rPr>
          <w:rFonts w:ascii="Arial" w:hAnsi="Arial"/>
          <w:color w:val="auto"/>
          <w:sz w:val="20"/>
          <w:szCs w:val="20"/>
        </w:rPr>
        <w:t xml:space="preserve"> </w:t>
      </w:r>
      <w:r>
        <w:rPr>
          <w:rFonts w:ascii="Arial" w:hAnsi="Arial"/>
          <w:color w:val="auto"/>
          <w:sz w:val="20"/>
          <w:szCs w:val="20"/>
        </w:rPr>
        <w:t>majoração, de forma gradual,</w:t>
      </w:r>
      <w:r>
        <w:rPr>
          <w:rFonts w:ascii="Arial" w:hAnsi="Arial"/>
          <w:color w:val="auto"/>
          <w:sz w:val="20"/>
          <w:szCs w:val="20"/>
        </w:rPr>
        <w:t xml:space="preserve"> de subsídios com a regra da anterioridade e </w:t>
      </w:r>
      <w:r>
        <w:rPr>
          <w:rFonts w:ascii="Arial" w:hAnsi="Arial"/>
          <w:color w:val="auto"/>
          <w:sz w:val="20"/>
          <w:szCs w:val="20"/>
        </w:rPr>
        <w:t>D</w:t>
      </w:r>
      <w:r>
        <w:rPr>
          <w:rFonts w:ascii="Arial" w:hAnsi="Arial"/>
          <w:color w:val="auto"/>
          <w:sz w:val="20"/>
          <w:szCs w:val="20"/>
        </w:rPr>
        <w:t xml:space="preserve">a imutabilidade remuneratória no curso do mandato, previstas no art. 29, inciso VI, da Constituição Federal, diferenciando-se </w:t>
      </w:r>
      <w:r>
        <w:rPr>
          <w:rFonts w:ascii="Arial" w:hAnsi="Arial"/>
          <w:color w:val="auto"/>
          <w:sz w:val="20"/>
          <w:szCs w:val="20"/>
        </w:rPr>
        <w:t>do</w:t>
      </w:r>
      <w:r>
        <w:rPr>
          <w:rFonts w:ascii="Arial" w:hAnsi="Arial"/>
          <w:color w:val="auto"/>
          <w:sz w:val="20"/>
          <w:szCs w:val="20"/>
        </w:rPr>
        <w:t xml:space="preserve"> reajuste por índices externos. O Tribunal de Contas conheceu da </w:t>
      </w:r>
      <w:r>
        <w:rPr>
          <w:rFonts w:ascii="Arial" w:hAnsi="Arial"/>
          <w:color w:val="auto"/>
          <w:sz w:val="20"/>
          <w:szCs w:val="20"/>
        </w:rPr>
        <w:t>C</w:t>
      </w:r>
      <w:r>
        <w:rPr>
          <w:rFonts w:ascii="Arial" w:hAnsi="Arial"/>
          <w:color w:val="auto"/>
          <w:sz w:val="20"/>
          <w:szCs w:val="20"/>
        </w:rPr>
        <w:t>onsulta e resp</w:t>
      </w:r>
      <w:r>
        <w:rPr>
          <w:rFonts w:ascii="Arial" w:hAnsi="Arial"/>
          <w:b w:val="false"/>
          <w:bCs w:val="false"/>
          <w:color w:val="auto"/>
          <w:sz w:val="20"/>
          <w:szCs w:val="20"/>
        </w:rPr>
        <w:t xml:space="preserve">ondeu ser, </w:t>
      </w:r>
      <w:r>
        <w:rPr>
          <w:rStyle w:val="Strong"/>
          <w:rFonts w:ascii="Arial" w:hAnsi="Arial"/>
          <w:b w:val="false"/>
          <w:bCs w:val="false"/>
          <w:color w:val="auto"/>
          <w:sz w:val="20"/>
          <w:szCs w:val="20"/>
        </w:rPr>
        <w:t>em tese, possível</w:t>
      </w:r>
      <w:r>
        <w:rPr>
          <w:rFonts w:ascii="Arial" w:hAnsi="Arial"/>
          <w:b w:val="false"/>
          <w:bCs w:val="false"/>
          <w:color w:val="auto"/>
          <w:sz w:val="20"/>
          <w:szCs w:val="20"/>
        </w:rPr>
        <w:t xml:space="preserve"> a fixação escalonada dos subsídios dos </w:t>
      </w:r>
      <w:r>
        <w:rPr>
          <w:rFonts w:ascii="Arial" w:hAnsi="Arial"/>
          <w:b w:val="false"/>
          <w:bCs w:val="false"/>
          <w:i w:val="false"/>
          <w:caps w:val="false"/>
          <w:smallCaps w:val="false"/>
          <w:color w:val="auto"/>
          <w:spacing w:val="0"/>
          <w:sz w:val="20"/>
          <w:szCs w:val="20"/>
        </w:rPr>
        <w:t>vereadores</w:t>
      </w:r>
      <w:r>
        <w:rPr>
          <w:rFonts w:ascii="Arial" w:hAnsi="Arial"/>
          <w:b w:val="false"/>
          <w:bCs w:val="false"/>
          <w:color w:val="auto"/>
          <w:sz w:val="20"/>
          <w:szCs w:val="20"/>
        </w:rPr>
        <w:t xml:space="preserve"> para a </w:t>
      </w:r>
      <w:r>
        <w:rPr>
          <w:rFonts w:ascii="Arial" w:hAnsi="Arial"/>
          <w:b w:val="false"/>
          <w:bCs w:val="false"/>
          <w:i w:val="false"/>
          <w:caps w:val="false"/>
          <w:smallCaps w:val="false"/>
          <w:color w:val="auto"/>
          <w:spacing w:val="0"/>
          <w:sz w:val="20"/>
          <w:szCs w:val="20"/>
        </w:rPr>
        <w:t>legislatura subsequente</w:t>
      </w:r>
      <w:r>
        <w:rPr>
          <w:rFonts w:ascii="Arial" w:hAnsi="Arial"/>
          <w:b w:val="false"/>
          <w:bCs w:val="false"/>
          <w:color w:val="auto"/>
          <w:sz w:val="20"/>
          <w:szCs w:val="20"/>
        </w:rPr>
        <w:t>, desde que toda a disciplina remuneratória - contemplando os</w:t>
      </w:r>
      <w:r>
        <w:rPr>
          <w:rFonts w:ascii="Arial" w:hAnsi="Arial"/>
          <w:color w:val="auto"/>
          <w:sz w:val="20"/>
          <w:szCs w:val="20"/>
        </w:rPr>
        <w:t xml:space="preserve"> valores nominais de cada etapa e suas respectivas datas de vigência - seja integral e exaustivamente aprovada pela legislatura antecedente, sem margem para deliberação, revisão superveniente, gatilhos automáticos ou reajustes durante a legislatura beneficiada. Destacou-se que a </w:t>
      </w:r>
      <w:r>
        <w:rPr>
          <w:rFonts w:ascii="Arial" w:hAnsi="Arial"/>
          <w:color w:val="auto"/>
          <w:sz w:val="20"/>
          <w:szCs w:val="20"/>
        </w:rPr>
        <w:t>tese</w:t>
      </w:r>
      <w:r>
        <w:rPr>
          <w:rFonts w:ascii="Arial" w:hAnsi="Arial"/>
          <w:color w:val="auto"/>
          <w:sz w:val="20"/>
          <w:szCs w:val="20"/>
        </w:rPr>
        <w:t xml:space="preserve"> não afronta a regra constitucional da anterioridade, </w:t>
      </w:r>
      <w:r>
        <w:rPr>
          <w:rFonts w:ascii="Arial" w:hAnsi="Arial"/>
          <w:color w:val="auto"/>
          <w:sz w:val="20"/>
          <w:szCs w:val="20"/>
        </w:rPr>
        <w:t xml:space="preserve">tampouco </w:t>
      </w:r>
      <w:r>
        <w:rPr>
          <w:rFonts w:ascii="Arial" w:hAnsi="Arial"/>
          <w:color w:val="auto"/>
          <w:sz w:val="20"/>
          <w:szCs w:val="20"/>
        </w:rPr>
        <w:t xml:space="preserve">os princípios da moralidade e da impessoalidade, haja vista que a trajetória </w:t>
      </w:r>
      <w:r>
        <w:rPr>
          <w:rFonts w:ascii="Arial" w:hAnsi="Arial"/>
          <w:color w:val="auto"/>
          <w:sz w:val="20"/>
          <w:szCs w:val="20"/>
        </w:rPr>
        <w:t>dos impactos financeiro e orçamentário</w:t>
      </w:r>
      <w:r>
        <w:rPr>
          <w:rFonts w:ascii="Arial" w:hAnsi="Arial"/>
          <w:color w:val="auto"/>
          <w:sz w:val="20"/>
          <w:szCs w:val="20"/>
        </w:rPr>
        <w:t xml:space="preserve"> </w:t>
      </w:r>
      <w:r>
        <w:rPr>
          <w:rFonts w:ascii="Arial" w:hAnsi="Arial"/>
          <w:color w:val="auto"/>
          <w:sz w:val="20"/>
          <w:szCs w:val="20"/>
        </w:rPr>
        <w:t>são</w:t>
      </w:r>
      <w:r>
        <w:rPr>
          <w:rFonts w:ascii="Arial" w:hAnsi="Arial"/>
          <w:color w:val="auto"/>
          <w:sz w:val="20"/>
          <w:szCs w:val="20"/>
        </w:rPr>
        <w:t xml:space="preserve"> previamente estipulad</w:t>
      </w:r>
      <w:r>
        <w:rPr>
          <w:rFonts w:ascii="Arial" w:hAnsi="Arial"/>
          <w:color w:val="auto"/>
          <w:sz w:val="20"/>
          <w:szCs w:val="20"/>
        </w:rPr>
        <w:t>os</w:t>
      </w:r>
      <w:r>
        <w:rPr>
          <w:rFonts w:ascii="Arial" w:hAnsi="Arial"/>
          <w:color w:val="auto"/>
          <w:sz w:val="20"/>
          <w:szCs w:val="20"/>
        </w:rPr>
        <w:t xml:space="preserve"> antes do início do mandato, impedindo a autoconcessão de aumentos pelos beneficiários. Exigiu-se, contudo, a observância rigorosa dos limites constitucionais impostos aos subsídios parlamentares, a compatibilidade com a Lei de Responsabilidade Fiscal, a adequação orçamentária e financeira, bem como o atendimento às normas formais do processo legislativo local e à Lei Orgânica Municipal. </w:t>
      </w:r>
      <w:r>
        <w:rPr>
          <w:rFonts w:ascii="Arial" w:hAnsi="Arial"/>
          <w:color w:val="auto"/>
          <w:sz w:val="20"/>
          <w:szCs w:val="20"/>
        </w:rPr>
        <w:t>A</w:t>
      </w:r>
      <w:r>
        <w:rPr>
          <w:rFonts w:ascii="Arial" w:hAnsi="Arial"/>
          <w:color w:val="auto"/>
          <w:sz w:val="20"/>
          <w:szCs w:val="20"/>
        </w:rPr>
        <w:t xml:space="preserve"> decisão orienta que o modelo escalonado prévio favorece o planejamento orçamentário do ente público e a previsibilidade fiscal, contanto que não altere a vedação à modificação remuneratória no curso do mandato. </w:t>
      </w:r>
    </w:p>
    <w:p>
      <w:pPr>
        <w:pStyle w:val="BodyText"/>
        <w:spacing w:lineRule="auto" w:line="240" w:before="0" w:after="0"/>
        <w:jc w:val="both"/>
        <w:rPr>
          <w:rFonts w:ascii="Arial" w:hAnsi="Arial"/>
          <w:color w:val="auto"/>
          <w:sz w:val="18"/>
          <w:szCs w:val="18"/>
        </w:rPr>
      </w:pPr>
      <w:r>
        <w:rPr>
          <w:rFonts w:ascii="Arial" w:hAnsi="Arial"/>
          <w:color w:val="auto"/>
          <w:sz w:val="18"/>
          <w:szCs w:val="18"/>
        </w:rPr>
      </w:r>
    </w:p>
    <w:p>
      <w:pPr>
        <w:pStyle w:val="Normal"/>
        <w:spacing w:lineRule="auto" w:line="240" w:before="0" w:after="0"/>
        <w:jc w:val="both"/>
        <w:rPr/>
      </w:pPr>
      <w:hyperlink r:id="rId5">
        <w:r>
          <w:rPr>
            <w:rStyle w:val="Hyperlink"/>
            <w:rFonts w:ascii="Arial" w:hAnsi="Arial"/>
            <w:color w:val="auto"/>
            <w:sz w:val="18"/>
            <w:szCs w:val="18"/>
          </w:rPr>
          <w:t>Processo n.º 06669/2025-7</w:t>
        </w:r>
      </w:hyperlink>
      <w:r>
        <w:rPr>
          <w:rStyle w:val="Hyperlink"/>
          <w:rFonts w:ascii="Arial" w:hAnsi="Arial"/>
          <w:color w:val="auto"/>
          <w:sz w:val="18"/>
          <w:szCs w:val="18"/>
          <w:u w:val="none"/>
        </w:rPr>
        <w:t xml:space="preserve">.   </w:t>
      </w:r>
      <w:r>
        <w:rPr>
          <w:rFonts w:eastAsia="Arial" w:cs="Arial" w:ascii="Arial" w:hAnsi="Arial"/>
          <w:b w:val="false"/>
          <w:bCs w:val="false"/>
          <w:color w:val="auto"/>
          <w:sz w:val="18"/>
          <w:szCs w:val="18"/>
          <w:u w:val="none"/>
        </w:rPr>
        <w:t xml:space="preserve">  Relator(a): Cons. Onélia Leite.     Sessão: Pleno de 14/07/2026.    </w:t>
      </w:r>
      <w:r>
        <w:rPr>
          <w:rFonts w:eastAsia="Arial" w:cs="Arial" w:ascii="Arial" w:hAnsi="Arial"/>
          <w:b w:val="false"/>
          <w:bCs w:val="false"/>
          <w:color w:val="000000"/>
          <w:sz w:val="18"/>
          <w:szCs w:val="18"/>
          <w:u w:val="none"/>
          <w:shd w:fill="auto" w:val="clear"/>
        </w:rPr>
        <w:t>Ata n.º 0</w:t>
      </w:r>
      <w:r>
        <w:rPr>
          <w:rFonts w:eastAsia="Arial" w:cs="Arial" w:ascii="Arial" w:hAnsi="Arial"/>
          <w:b w:val="false"/>
          <w:bCs w:val="false"/>
          <w:color w:val="000000"/>
          <w:sz w:val="18"/>
          <w:szCs w:val="18"/>
          <w:u w:val="none"/>
          <w:shd w:fill="auto" w:val="clear"/>
        </w:rPr>
        <w:t>6</w:t>
      </w:r>
      <w:r>
        <w:rPr>
          <w:rFonts w:eastAsia="Arial" w:cs="Arial" w:ascii="Arial" w:hAnsi="Arial"/>
          <w:b w:val="false"/>
          <w:bCs w:val="false"/>
          <w:color w:val="000000"/>
          <w:sz w:val="18"/>
          <w:szCs w:val="18"/>
          <w:u w:val="none"/>
          <w:shd w:fill="auto" w:val="clear"/>
        </w:rPr>
        <w:t xml:space="preserve">/2026.    DO: </w:t>
      </w:r>
      <w:r>
        <w:rPr>
          <w:rFonts w:eastAsia="Arial" w:cs="Arial" w:ascii="Arial" w:hAnsi="Arial"/>
          <w:b w:val="false"/>
          <w:bCs w:val="false"/>
          <w:color w:val="000000"/>
          <w:sz w:val="18"/>
          <w:szCs w:val="18"/>
          <w:u w:val="none"/>
          <w:shd w:fill="auto" w:val="clear"/>
        </w:rPr>
        <w:t>13</w:t>
      </w:r>
      <w:r>
        <w:rPr>
          <w:rFonts w:eastAsia="Arial" w:cs="Arial" w:ascii="Arial" w:hAnsi="Arial"/>
          <w:b w:val="false"/>
          <w:bCs w:val="false"/>
          <w:color w:val="000000"/>
          <w:sz w:val="18"/>
          <w:szCs w:val="18"/>
          <w:u w:val="none"/>
          <w:shd w:fill="auto" w:val="clear"/>
        </w:rPr>
        <w:t>/0</w:t>
      </w:r>
      <w:r>
        <w:rPr>
          <w:rFonts w:eastAsia="Arial" w:cs="Arial" w:ascii="Arial" w:hAnsi="Arial"/>
          <w:b w:val="false"/>
          <w:bCs w:val="false"/>
          <w:color w:val="000000"/>
          <w:sz w:val="18"/>
          <w:szCs w:val="18"/>
          <w:u w:val="none"/>
          <w:shd w:fill="auto" w:val="clear"/>
        </w:rPr>
        <w:t>8</w:t>
      </w:r>
      <w:r>
        <w:rPr>
          <w:rFonts w:eastAsia="Arial" w:cs="Arial" w:ascii="Arial" w:hAnsi="Arial"/>
          <w:b w:val="false"/>
          <w:bCs w:val="false"/>
          <w:color w:val="000000"/>
          <w:sz w:val="18"/>
          <w:szCs w:val="18"/>
          <w:u w:val="none"/>
          <w:shd w:fill="auto" w:val="clear"/>
        </w:rPr>
        <w:t>/2026.</w:t>
      </w:r>
    </w:p>
    <w:p>
      <w:pPr>
        <w:pStyle w:val="Normal"/>
        <w:spacing w:lineRule="auto" w:line="240" w:before="0" w:after="0"/>
        <w:jc w:val="both"/>
        <w:rPr>
          <w:rFonts w:ascii="Arial" w:hAnsi="Arial" w:eastAsia="Arial" w:cs="Arial"/>
          <w:color w:val="C9211E"/>
          <w:sz w:val="18"/>
          <w:szCs w:val="18"/>
        </w:rPr>
      </w:pPr>
      <w:r>
        <w:rPr>
          <w:rFonts w:eastAsia="Arial" w:cs="Arial" w:ascii="Arial" w:hAnsi="Arial"/>
          <w:color w:val="C9211E"/>
          <w:sz w:val="18"/>
          <w:szCs w:val="18"/>
        </w:rPr>
        <w:drawing>
          <wp:anchor behindDoc="1" distT="0" distB="0" distL="0" distR="0" simplePos="0" locked="0" layoutInCell="1" allowOverlap="1" relativeHeight="9">
            <wp:simplePos x="0" y="0"/>
            <wp:positionH relativeFrom="column">
              <wp:posOffset>9525</wp:posOffset>
            </wp:positionH>
            <wp:positionV relativeFrom="paragraph">
              <wp:posOffset>123825</wp:posOffset>
            </wp:positionV>
            <wp:extent cx="6829425" cy="419100"/>
            <wp:effectExtent l="0" t="0" r="0" b="0"/>
            <wp:wrapNone/>
            <wp:docPr id="4" name="image2.jp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g" descr="" title=""/>
                    <pic:cNvPicPr>
                      <a:picLocks noChangeAspect="1" noChangeArrowheads="1"/>
                    </pic:cNvPicPr>
                  </pic:nvPicPr>
                  <pic:blipFill>
                    <a:blip r:embed="rId6"/>
                    <a:srcRect l="-6" t="-135" r="-6" b="-135"/>
                    <a:stretch>
                      <a:fillRect/>
                    </a:stretch>
                  </pic:blipFill>
                  <pic:spPr bwMode="auto">
                    <a:xfrm>
                      <a:off x="0" y="0"/>
                      <a:ext cx="6829425" cy="419100"/>
                    </a:xfrm>
                    <a:prstGeom prst="rect">
                      <a:avLst/>
                    </a:prstGeom>
                  </pic:spPr>
                </pic:pic>
              </a:graphicData>
            </a:graphic>
          </wp:anchor>
        </w:drawing>
      </w:r>
    </w:p>
    <w:p>
      <w:pPr>
        <w:pStyle w:val="Normal"/>
        <w:spacing w:lineRule="auto" w:line="240" w:before="0" w:after="0"/>
        <w:jc w:val="both"/>
        <w:rPr>
          <w:rFonts w:ascii="Arial" w:hAnsi="Arial" w:eastAsia="Arial" w:cs="Arial"/>
          <w:color w:val="C9211E"/>
          <w:sz w:val="18"/>
          <w:szCs w:val="18"/>
        </w:rPr>
      </w:pPr>
      <w:r>
        <w:rPr>
          <w:rFonts w:eastAsia="Arial" w:cs="Arial" w:ascii="Arial" w:hAnsi="Arial"/>
          <w:color w:val="C9211E"/>
          <w:sz w:val="18"/>
          <w:szCs w:val="18"/>
        </w:rPr>
      </w:r>
    </w:p>
    <w:p>
      <w:pPr>
        <w:pStyle w:val="Normal"/>
        <w:spacing w:lineRule="auto" w:line="240" w:before="0" w:after="0"/>
        <w:jc w:val="center"/>
        <w:rPr>
          <w:rFonts w:ascii="Arial" w:hAnsi="Arial" w:eastAsia="Arial" w:cs="Arial"/>
          <w:b/>
          <w:bCs/>
          <w:color w:val="FFFFFF"/>
          <w:sz w:val="22"/>
          <w:szCs w:val="22"/>
        </w:rPr>
      </w:pPr>
      <w:r>
        <w:rPr>
          <w:rFonts w:eastAsia="Arial" w:cs="Arial" w:ascii="Arial" w:hAnsi="Arial"/>
          <w:b/>
          <w:bCs/>
          <w:color w:val="FFFFFF"/>
          <w:sz w:val="22"/>
          <w:szCs w:val="22"/>
        </w:rPr>
        <w:t>ACÓRDÃO Nº 6084/2026</w:t>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BodyText"/>
        <w:spacing w:lineRule="auto" w:line="240" w:before="0" w:after="0"/>
        <w:jc w:val="both"/>
        <w:rPr>
          <w:rFonts w:ascii="Arial" w:hAnsi="Arial"/>
          <w:color w:val="auto"/>
          <w:sz w:val="24"/>
          <w:szCs w:val="24"/>
        </w:rPr>
      </w:pPr>
      <w:r>
        <w:rPr>
          <w:rFonts w:eastAsia="Arial" w:cs="Arial" w:ascii="Arial" w:hAnsi="Arial"/>
          <w:b/>
          <w:bCs/>
          <w:color w:val="auto"/>
          <w:sz w:val="24"/>
          <w:szCs w:val="24"/>
        </w:rPr>
        <w:t xml:space="preserve">RECURSO DE RECONSIDERAÇÃO. </w:t>
      </w:r>
      <w:r>
        <w:rPr>
          <w:rFonts w:eastAsia="Arial" w:cs="Arial" w:ascii="Arial" w:hAnsi="Arial"/>
          <w:b/>
          <w:bCs/>
          <w:color w:val="auto"/>
          <w:sz w:val="24"/>
          <w:szCs w:val="24"/>
        </w:rPr>
        <w:t xml:space="preserve">DESPESA COM PESSOAL. LIMITE DE DESPESA. LEI DE RESPONSABILIDADE FISCAL. COMPETÊNCIA DO TRIBUNAL DE CONTAS. </w:t>
      </w:r>
      <w:r>
        <w:rPr>
          <w:rFonts w:eastAsia="Arial" w:cs="Arial" w:ascii="Arial" w:hAnsi="Arial"/>
          <w:b/>
          <w:bCs/>
          <w:color w:val="auto"/>
          <w:sz w:val="24"/>
          <w:szCs w:val="24"/>
        </w:rPr>
        <w:t xml:space="preserve">PRESCRIÇÃO INTERCORRENTE. </w:t>
      </w:r>
      <w:r>
        <w:rPr>
          <w:rFonts w:eastAsia="Arial" w:cs="Arial" w:ascii="Arial" w:hAnsi="Arial"/>
          <w:b/>
          <w:bCs/>
          <w:color w:val="auto"/>
          <w:sz w:val="24"/>
          <w:szCs w:val="24"/>
        </w:rPr>
        <w:t>DOSIMETRIA DA MULTA.</w:t>
      </w:r>
      <w:r>
        <w:rPr>
          <w:rFonts w:eastAsia="Arial" w:cs="Arial" w:ascii="Arial" w:hAnsi="Arial"/>
          <w:b/>
          <w:bCs/>
          <w:color w:val="auto"/>
          <w:sz w:val="24"/>
          <w:szCs w:val="24"/>
        </w:rPr>
        <w:t xml:space="preserve"> </w:t>
      </w:r>
      <w:r>
        <w:rPr>
          <w:rFonts w:eastAsia="Arial" w:cs="Arial" w:ascii="Arial" w:hAnsi="Arial"/>
          <w:b/>
          <w:bCs/>
          <w:color w:val="auto"/>
          <w:sz w:val="24"/>
          <w:szCs w:val="24"/>
        </w:rPr>
        <w:t>PROVIMENTO PARCIAL.</w:t>
      </w:r>
    </w:p>
    <w:p>
      <w:pPr>
        <w:pStyle w:val="BodyText"/>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BodyText"/>
        <w:spacing w:lineRule="auto" w:line="240" w:before="0" w:after="0"/>
        <w:jc w:val="both"/>
        <w:rPr>
          <w:rFonts w:ascii="Arial" w:hAnsi="Arial"/>
          <w:color w:val="auto"/>
          <w:sz w:val="20"/>
          <w:szCs w:val="20"/>
        </w:rPr>
      </w:pPr>
      <w:r>
        <w:rPr>
          <w:rFonts w:eastAsia="Arial" w:cs="Arial" w:ascii="Arial" w:hAnsi="Arial"/>
          <w:color w:val="auto"/>
          <w:sz w:val="20"/>
          <w:szCs w:val="20"/>
        </w:rPr>
        <w:t xml:space="preserve">Recurso de Reconsideração interposto contra decisão que aplicou sanção em razão do descumprimento do limite de despesa total com pessoal e da ausência de recondução dos gastos aos parâmetros estabelecidos pela Lei de Responsabilidade Fiscal (LRF), com fundamento no art. 5º, inciso IV, da Lei Federal nº 10.028/2000. Foram suscitadas preliminares relacionadas à nulidade da decisão e à suposta incompetência do Tribunal de Contas para sancionar chefe de Poder Executivo, além de questão prejudicial referente à prescrição intercorrente. Quanto à competência, a Corte afastou a preliminar, destacando, com fundamento na jurisprudência do Supremo Tribunal Federal, que os Tribunais de Contas possuem competência para fiscalizar atos de gestão, apreciar a legalidade de despesas, apurar irregularidades e aplicar sanções, não sendo essa atribuição afastada pelo entendimento relativo ao julgamento das </w:t>
      </w:r>
      <w:r>
        <w:rPr>
          <w:rFonts w:eastAsia="Arial" w:cs="Arial" w:ascii="Arial" w:hAnsi="Arial"/>
          <w:color w:val="auto"/>
          <w:sz w:val="20"/>
          <w:szCs w:val="20"/>
        </w:rPr>
        <w:t>C</w:t>
      </w:r>
      <w:r>
        <w:rPr>
          <w:rFonts w:eastAsia="Arial" w:cs="Arial" w:ascii="Arial" w:hAnsi="Arial"/>
          <w:color w:val="auto"/>
          <w:sz w:val="20"/>
          <w:szCs w:val="20"/>
        </w:rPr>
        <w:t xml:space="preserve">ontas de </w:t>
      </w:r>
      <w:r>
        <w:rPr>
          <w:rFonts w:eastAsia="Arial" w:cs="Arial" w:ascii="Arial" w:hAnsi="Arial"/>
          <w:color w:val="auto"/>
          <w:sz w:val="20"/>
          <w:szCs w:val="20"/>
        </w:rPr>
        <w:t>G</w:t>
      </w:r>
      <w:r>
        <w:rPr>
          <w:rFonts w:eastAsia="Arial" w:cs="Arial" w:ascii="Arial" w:hAnsi="Arial"/>
          <w:color w:val="auto"/>
          <w:sz w:val="20"/>
          <w:szCs w:val="20"/>
        </w:rPr>
        <w:t xml:space="preserve">overno. No tocante à prescrição intercorrente, o </w:t>
      </w:r>
      <w:r>
        <w:rPr>
          <w:rFonts w:eastAsia="Arial" w:cs="Arial" w:ascii="Arial" w:hAnsi="Arial"/>
          <w:color w:val="auto"/>
          <w:sz w:val="20"/>
          <w:szCs w:val="20"/>
        </w:rPr>
        <w:t>Relator</w:t>
      </w:r>
      <w:r>
        <w:rPr>
          <w:rFonts w:eastAsia="Arial" w:cs="Arial" w:ascii="Arial" w:hAnsi="Arial"/>
          <w:color w:val="auto"/>
          <w:sz w:val="20"/>
          <w:szCs w:val="20"/>
        </w:rPr>
        <w:t xml:space="preserve"> </w:t>
      </w:r>
      <w:r>
        <w:rPr>
          <w:rFonts w:eastAsia="Arial" w:cs="Arial" w:ascii="Arial" w:hAnsi="Arial"/>
          <w:color w:val="auto"/>
          <w:sz w:val="20"/>
          <w:szCs w:val="20"/>
        </w:rPr>
        <w:t>suscitou a</w:t>
      </w:r>
      <w:r>
        <w:rPr>
          <w:rFonts w:eastAsia="Arial" w:cs="Arial" w:ascii="Arial" w:hAnsi="Arial"/>
          <w:color w:val="auto"/>
          <w:sz w:val="20"/>
          <w:szCs w:val="20"/>
        </w:rPr>
        <w:t xml:space="preserve"> sua ocorrência em razão da paralisação injustificada do processo por período superior ao prazo previsto na Lei Federal nº 9.873/1999, em consonância com entendimento do Supremo Tribunal Federal sobre a aplicação do instituto aos processos de controle externo. Ressaltou-se, ainda, que a ausência de previsão específica em ato normativo administrativo da Corte não afastaria a incidência de </w:t>
      </w:r>
      <w:r>
        <w:rPr>
          <w:rFonts w:eastAsia="Arial" w:cs="Arial" w:ascii="Arial" w:hAnsi="Arial"/>
          <w:color w:val="auto"/>
          <w:sz w:val="20"/>
          <w:szCs w:val="20"/>
        </w:rPr>
        <w:t>L</w:t>
      </w:r>
      <w:r>
        <w:rPr>
          <w:rFonts w:eastAsia="Arial" w:cs="Arial" w:ascii="Arial" w:hAnsi="Arial"/>
          <w:color w:val="auto"/>
          <w:sz w:val="20"/>
          <w:szCs w:val="20"/>
        </w:rPr>
        <w:t xml:space="preserve">ei </w:t>
      </w:r>
      <w:r>
        <w:rPr>
          <w:rFonts w:eastAsia="Arial" w:cs="Arial" w:ascii="Arial" w:hAnsi="Arial"/>
          <w:color w:val="auto"/>
          <w:sz w:val="20"/>
          <w:szCs w:val="20"/>
        </w:rPr>
        <w:t>F</w:t>
      </w:r>
      <w:r>
        <w:rPr>
          <w:rFonts w:eastAsia="Arial" w:cs="Arial" w:ascii="Arial" w:hAnsi="Arial"/>
          <w:color w:val="auto"/>
          <w:sz w:val="20"/>
          <w:szCs w:val="20"/>
        </w:rPr>
        <w:t xml:space="preserve">ederal aplicável à matéria. A maioria do Colegiado, contudo, rejeitou a prejudicial de prescrição intercorrente e manteve o exame do mérito. </w:t>
      </w:r>
      <w:r>
        <w:rPr>
          <w:rFonts w:eastAsia="Arial" w:cs="Arial" w:ascii="Arial" w:hAnsi="Arial"/>
          <w:color w:val="auto"/>
          <w:sz w:val="20"/>
          <w:szCs w:val="20"/>
        </w:rPr>
        <w:t>Assim</w:t>
      </w:r>
      <w:r>
        <w:rPr>
          <w:rFonts w:eastAsia="Arial" w:cs="Arial" w:ascii="Arial" w:hAnsi="Arial"/>
          <w:color w:val="auto"/>
          <w:sz w:val="20"/>
          <w:szCs w:val="20"/>
        </w:rPr>
        <w:t xml:space="preserve">, a Corte considerou insuficientes as providências administrativas apresentadas, pois a LRF exige não apenas a adoção formal de medidas, mas a efetiva recondução da despesa com pessoal aos limites legais dentro dos prazos estabelecidos. Também se assentou que despesas decorrentes de obrigações legais previsíveis não afastam, por si só, a responsabilidade pela adequada gestão fiscal. Quanto à dosimetria </w:t>
      </w:r>
      <w:r>
        <w:rPr>
          <w:rFonts w:eastAsia="Arial" w:cs="Arial" w:ascii="Arial" w:hAnsi="Arial"/>
          <w:color w:val="auto"/>
          <w:sz w:val="20"/>
          <w:szCs w:val="20"/>
        </w:rPr>
        <w:t>da multa</w:t>
      </w:r>
      <w:r>
        <w:rPr>
          <w:rFonts w:eastAsia="Arial" w:cs="Arial" w:ascii="Arial" w:hAnsi="Arial"/>
          <w:color w:val="auto"/>
          <w:sz w:val="20"/>
          <w:szCs w:val="20"/>
        </w:rPr>
        <w:t xml:space="preserve">, o Colegiado deu parcial provimento ao recurso para reduzir a </w:t>
      </w:r>
      <w:r>
        <w:rPr>
          <w:rFonts w:eastAsia="Arial" w:cs="Arial" w:ascii="Arial" w:hAnsi="Arial"/>
          <w:color w:val="auto"/>
          <w:sz w:val="20"/>
          <w:szCs w:val="20"/>
        </w:rPr>
        <w:t>sanção</w:t>
      </w:r>
      <w:r>
        <w:rPr>
          <w:rFonts w:eastAsia="Arial" w:cs="Arial" w:ascii="Arial" w:hAnsi="Arial"/>
          <w:color w:val="auto"/>
          <w:sz w:val="20"/>
          <w:szCs w:val="20"/>
        </w:rPr>
        <w:t>, considerando que o percentual previsto no art. 5º, inciso IV, da Lei nº 10.028/2000 constitui teto, e não imposição automática, devendo a penalidade observar a proporcionalidade e as circunstâncias do caso concreto.</w:t>
      </w:r>
    </w:p>
    <w:p>
      <w:pPr>
        <w:pStyle w:val="BodyText"/>
        <w:spacing w:lineRule="auto" w:line="240" w:before="0" w:after="0"/>
        <w:jc w:val="both"/>
        <w:rPr>
          <w:rFonts w:ascii="Arial" w:hAnsi="Arial" w:eastAsia="Arial" w:cs="Arial"/>
          <w:color w:val="auto"/>
          <w:sz w:val="18"/>
          <w:szCs w:val="18"/>
        </w:rPr>
      </w:pPr>
      <w:r>
        <w:rPr>
          <w:rFonts w:eastAsia="Arial" w:cs="Arial" w:ascii="Arial" w:hAnsi="Arial"/>
          <w:color w:val="auto"/>
          <w:sz w:val="18"/>
          <w:szCs w:val="18"/>
        </w:rPr>
      </w:r>
    </w:p>
    <w:p>
      <w:pPr>
        <w:pStyle w:val="BodyText"/>
        <w:spacing w:lineRule="auto" w:line="240" w:before="0" w:after="0"/>
        <w:jc w:val="both"/>
        <w:rPr/>
      </w:pPr>
      <w:hyperlink r:id="rId7">
        <w:r>
          <w:rPr>
            <w:rStyle w:val="Hyperlink"/>
            <w:rFonts w:ascii="Arial" w:hAnsi="Arial"/>
            <w:color w:val="auto"/>
            <w:sz w:val="18"/>
            <w:szCs w:val="18"/>
          </w:rPr>
          <w:t>Processo n.º 28741/2021-5</w:t>
        </w:r>
      </w:hyperlink>
      <w:r>
        <w:rPr>
          <w:rStyle w:val="Hyperlink"/>
          <w:rFonts w:ascii="Arial" w:hAnsi="Arial"/>
          <w:color w:val="auto"/>
          <w:sz w:val="18"/>
          <w:szCs w:val="18"/>
          <w:u w:val="none"/>
        </w:rPr>
        <w:t>.</w:t>
      </w:r>
      <w:r>
        <w:rPr>
          <w:rFonts w:eastAsia="Arial" w:cs="Arial" w:ascii="Arial" w:hAnsi="Arial"/>
          <w:color w:val="000000"/>
          <w:sz w:val="18"/>
          <w:szCs w:val="18"/>
          <w:u w:val="none"/>
          <w:shd w:fill="auto" w:val="clear"/>
        </w:rPr>
        <w:t xml:space="preserve">  Relator(a): Cons. Valdomiro Távora.   Sessão: </w:t>
      </w:r>
      <w:r>
        <w:rPr>
          <w:rFonts w:eastAsia="Arial" w:cs="Arial" w:ascii="Arial" w:hAnsi="Arial"/>
          <w:color w:val="000000"/>
          <w:sz w:val="18"/>
          <w:szCs w:val="18"/>
          <w:u w:val="none"/>
          <w:shd w:fill="auto" w:val="clear"/>
        </w:rPr>
        <w:t>Pleno</w:t>
      </w:r>
      <w:r>
        <w:rPr>
          <w:rFonts w:eastAsia="Arial" w:cs="Arial" w:ascii="Arial" w:hAnsi="Arial"/>
          <w:color w:val="000000"/>
          <w:sz w:val="18"/>
          <w:szCs w:val="18"/>
          <w:u w:val="none"/>
          <w:shd w:fill="auto" w:val="clear"/>
        </w:rPr>
        <w:t xml:space="preserve"> de </w:t>
      </w:r>
      <w:r>
        <w:rPr>
          <w:rFonts w:eastAsia="Arial" w:cs="Arial" w:ascii="Arial" w:hAnsi="Arial"/>
          <w:color w:val="000000"/>
          <w:sz w:val="18"/>
          <w:szCs w:val="18"/>
          <w:u w:val="none"/>
          <w:shd w:fill="auto" w:val="clear"/>
        </w:rPr>
        <w:t>14/07</w:t>
      </w:r>
      <w:r>
        <w:rPr>
          <w:rFonts w:eastAsia="Arial" w:cs="Arial" w:ascii="Arial" w:hAnsi="Arial"/>
          <w:color w:val="000000"/>
          <w:sz w:val="18"/>
          <w:szCs w:val="18"/>
          <w:u w:val="none"/>
          <w:shd w:fill="auto" w:val="clear"/>
        </w:rPr>
        <w:t xml:space="preserve">/2026.   Ata n.º </w:t>
      </w:r>
      <w:r>
        <w:rPr>
          <w:rFonts w:eastAsia="Arial" w:cs="Arial" w:ascii="Arial" w:hAnsi="Arial"/>
          <w:b w:val="false"/>
          <w:bCs w:val="false"/>
          <w:color w:val="000000"/>
          <w:sz w:val="18"/>
          <w:szCs w:val="18"/>
          <w:u w:val="none"/>
          <w:shd w:fill="auto" w:val="clear"/>
        </w:rPr>
        <w:t>0</w:t>
      </w:r>
      <w:r>
        <w:rPr>
          <w:rFonts w:eastAsia="Arial" w:cs="Arial" w:ascii="Arial" w:hAnsi="Arial"/>
          <w:b w:val="false"/>
          <w:bCs w:val="false"/>
          <w:color w:val="000000"/>
          <w:sz w:val="18"/>
          <w:szCs w:val="18"/>
          <w:u w:val="none"/>
          <w:shd w:fill="auto" w:val="clear"/>
        </w:rPr>
        <w:t>6</w:t>
      </w:r>
      <w:r>
        <w:rPr>
          <w:rFonts w:eastAsia="Arial" w:cs="Arial" w:ascii="Arial" w:hAnsi="Arial"/>
          <w:b w:val="false"/>
          <w:bCs w:val="false"/>
          <w:color w:val="000000"/>
          <w:sz w:val="18"/>
          <w:szCs w:val="18"/>
          <w:u w:val="none"/>
          <w:shd w:fill="auto" w:val="clear"/>
        </w:rPr>
        <w:t xml:space="preserve">/2026.   DO: </w:t>
      </w:r>
      <w:r>
        <w:rPr>
          <w:rFonts w:eastAsia="Arial" w:cs="Arial" w:ascii="Arial" w:hAnsi="Arial"/>
          <w:b w:val="false"/>
          <w:bCs w:val="false"/>
          <w:color w:val="000000"/>
          <w:sz w:val="18"/>
          <w:szCs w:val="18"/>
          <w:u w:val="none"/>
          <w:shd w:fill="auto" w:val="clear"/>
        </w:rPr>
        <w:t>13</w:t>
      </w:r>
      <w:r>
        <w:rPr>
          <w:rFonts w:eastAsia="Arial" w:cs="Arial" w:ascii="Arial" w:hAnsi="Arial"/>
          <w:b w:val="false"/>
          <w:bCs w:val="false"/>
          <w:color w:val="000000"/>
          <w:sz w:val="18"/>
          <w:szCs w:val="18"/>
          <w:u w:val="none"/>
          <w:shd w:fill="auto" w:val="clear"/>
        </w:rPr>
        <w:t>/0</w:t>
      </w:r>
      <w:r>
        <w:rPr>
          <w:rFonts w:eastAsia="Arial" w:cs="Arial" w:ascii="Arial" w:hAnsi="Arial"/>
          <w:b w:val="false"/>
          <w:bCs w:val="false"/>
          <w:color w:val="000000"/>
          <w:sz w:val="18"/>
          <w:szCs w:val="18"/>
          <w:u w:val="none"/>
          <w:shd w:fill="auto" w:val="clear"/>
        </w:rPr>
        <w:t>8</w:t>
      </w:r>
      <w:r>
        <w:rPr>
          <w:rFonts w:eastAsia="Arial" w:cs="Arial" w:ascii="Arial" w:hAnsi="Arial"/>
          <w:b w:val="false"/>
          <w:bCs w:val="false"/>
          <w:color w:val="000000"/>
          <w:sz w:val="18"/>
          <w:szCs w:val="18"/>
          <w:u w:val="none"/>
          <w:shd w:fill="auto" w:val="clear"/>
        </w:rPr>
        <w:t>/2026.</w:t>
      </w:r>
    </w:p>
    <w:p>
      <w:pPr>
        <w:pStyle w:val="Normal"/>
        <w:spacing w:lineRule="auto" w:line="240" w:before="0" w:after="0"/>
        <w:jc w:val="both"/>
        <w:rPr>
          <w:rFonts w:ascii="Arial" w:hAnsi="Arial" w:eastAsia="Arial" w:cs="Arial"/>
          <w:color w:val="C9211E"/>
          <w:sz w:val="18"/>
          <w:szCs w:val="18"/>
        </w:rPr>
      </w:pPr>
      <w:r>
        <w:rPr>
          <w:rFonts w:eastAsia="Arial" w:cs="Arial" w:ascii="Arial" w:hAnsi="Arial"/>
          <w:color w:val="C9211E"/>
          <w:sz w:val="18"/>
          <w:szCs w:val="18"/>
        </w:rPr>
        <w:drawing>
          <wp:anchor behindDoc="1" distT="0" distB="0" distL="0" distR="0" simplePos="0" locked="0" layoutInCell="1" allowOverlap="1" relativeHeight="12">
            <wp:simplePos x="0" y="0"/>
            <wp:positionH relativeFrom="column">
              <wp:posOffset>-2540</wp:posOffset>
            </wp:positionH>
            <wp:positionV relativeFrom="paragraph">
              <wp:posOffset>117475</wp:posOffset>
            </wp:positionV>
            <wp:extent cx="6788150" cy="433705"/>
            <wp:effectExtent l="0" t="0" r="0" b="0"/>
            <wp:wrapNone/>
            <wp:docPr id="5" name="Figura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descr="" title=""/>
                    <pic:cNvPicPr>
                      <a:picLocks noChangeAspect="1" noChangeArrowheads="1"/>
                    </pic:cNvPicPr>
                  </pic:nvPicPr>
                  <pic:blipFill>
                    <a:blip r:embed="rId8"/>
                    <a:srcRect l="-6" t="-135" r="-6" b="-135"/>
                    <a:stretch>
                      <a:fillRect/>
                    </a:stretch>
                  </pic:blipFill>
                  <pic:spPr bwMode="auto">
                    <a:xfrm>
                      <a:off x="0" y="0"/>
                      <a:ext cx="6788150" cy="433705"/>
                    </a:xfrm>
                    <a:prstGeom prst="rect">
                      <a:avLst/>
                    </a:prstGeom>
                  </pic:spPr>
                </pic:pic>
              </a:graphicData>
            </a:graphic>
          </wp:anchor>
        </w:drawing>
      </w:r>
    </w:p>
    <w:p>
      <w:pPr>
        <w:pStyle w:val="Normal"/>
        <w:spacing w:lineRule="auto" w:line="240" w:before="0" w:after="0"/>
        <w:jc w:val="both"/>
        <w:rPr>
          <w:rFonts w:ascii="Arial" w:hAnsi="Arial" w:eastAsia="Arial" w:cs="Arial"/>
          <w:color w:val="C9211E"/>
          <w:sz w:val="18"/>
          <w:szCs w:val="18"/>
        </w:rPr>
      </w:pPr>
      <w:r>
        <w:rPr>
          <w:rFonts w:eastAsia="Arial" w:cs="Arial" w:ascii="Arial" w:hAnsi="Arial"/>
          <w:color w:val="C9211E"/>
          <w:sz w:val="18"/>
          <w:szCs w:val="18"/>
        </w:rPr>
      </w:r>
    </w:p>
    <w:p>
      <w:pPr>
        <w:pStyle w:val="Normal"/>
        <w:spacing w:lineRule="auto" w:line="240" w:before="0" w:after="0"/>
        <w:jc w:val="center"/>
        <w:rPr>
          <w:rFonts w:ascii="Arial" w:hAnsi="Arial" w:eastAsia="Arial" w:cs="Arial"/>
          <w:b/>
          <w:bCs/>
          <w:color w:val="FFFFFF"/>
          <w:sz w:val="22"/>
          <w:szCs w:val="22"/>
        </w:rPr>
      </w:pPr>
      <w:r>
        <w:rPr>
          <w:rFonts w:eastAsia="Arial" w:cs="Arial" w:ascii="Arial" w:hAnsi="Arial"/>
          <w:b/>
          <w:bCs/>
          <w:color w:val="FFFFFF"/>
          <w:sz w:val="22"/>
          <w:szCs w:val="22"/>
        </w:rPr>
        <w:t xml:space="preserve">ACÓRDÃO Nº </w:t>
      </w:r>
      <w:r>
        <w:rPr>
          <w:rFonts w:eastAsia="Arial" w:cs="Arial" w:ascii="Arial" w:hAnsi="Arial"/>
          <w:b/>
          <w:bCs/>
          <w:color w:val="FFFFFF"/>
          <w:sz w:val="22"/>
          <w:szCs w:val="22"/>
        </w:rPr>
        <w:t>6620/2026</w:t>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BodyText"/>
        <w:spacing w:lineRule="auto" w:line="240" w:before="0" w:after="0"/>
        <w:jc w:val="both"/>
        <w:rPr>
          <w:rFonts w:ascii="Arial" w:hAnsi="Arial" w:eastAsia="Arial" w:cs="Arial"/>
          <w:b/>
          <w:bCs/>
          <w:color w:val="auto"/>
          <w:sz w:val="24"/>
          <w:szCs w:val="24"/>
        </w:rPr>
      </w:pPr>
      <w:r>
        <w:rPr>
          <w:rFonts w:eastAsia="Arial" w:cs="Arial" w:ascii="Arial" w:hAnsi="Arial"/>
          <w:b/>
          <w:bCs/>
          <w:color w:val="auto"/>
          <w:sz w:val="24"/>
          <w:szCs w:val="24"/>
        </w:rPr>
        <w:t xml:space="preserve">RECURSO DE RECONSIDERAÇÃO. </w:t>
      </w:r>
      <w:r>
        <w:rPr>
          <w:rFonts w:eastAsia="Arial" w:cs="Arial" w:ascii="Arial" w:hAnsi="Arial"/>
          <w:b/>
          <w:bCs/>
          <w:color w:val="auto"/>
          <w:sz w:val="24"/>
          <w:szCs w:val="24"/>
        </w:rPr>
        <w:t xml:space="preserve">NOMEAÇÃO. DESCUMPRIMENTO DE </w:t>
      </w:r>
      <w:r>
        <w:rPr>
          <w:rFonts w:eastAsia="Arial" w:cs="Arial" w:ascii="Arial" w:hAnsi="Arial"/>
          <w:b/>
          <w:bCs/>
          <w:color w:val="auto"/>
          <w:sz w:val="24"/>
          <w:szCs w:val="24"/>
        </w:rPr>
        <w:t xml:space="preserve">DILIGÊNCIA. </w:t>
      </w:r>
      <w:r>
        <w:rPr>
          <w:rFonts w:eastAsia="Arial" w:cs="Arial" w:ascii="Arial" w:hAnsi="Arial"/>
          <w:b/>
          <w:bCs/>
          <w:color w:val="auto"/>
          <w:sz w:val="24"/>
          <w:szCs w:val="24"/>
        </w:rPr>
        <w:t>MULTA.</w:t>
      </w:r>
      <w:r>
        <w:rPr>
          <w:rFonts w:eastAsia="Arial" w:cs="Arial" w:ascii="Arial" w:hAnsi="Arial"/>
          <w:b/>
          <w:bCs/>
          <w:color w:val="auto"/>
          <w:sz w:val="24"/>
          <w:szCs w:val="24"/>
        </w:rPr>
        <w:t xml:space="preserve"> </w:t>
      </w:r>
      <w:r>
        <w:rPr>
          <w:rFonts w:eastAsia="Arial" w:cs="Arial" w:ascii="Arial" w:hAnsi="Arial"/>
          <w:b/>
          <w:bCs/>
          <w:color w:val="auto"/>
          <w:sz w:val="24"/>
          <w:szCs w:val="24"/>
        </w:rPr>
        <w:t>RECURSO NÃO PROVIDO.</w:t>
      </w:r>
    </w:p>
    <w:p>
      <w:pPr>
        <w:pStyle w:val="BodyText"/>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BodyText"/>
        <w:spacing w:lineRule="auto" w:line="240" w:before="0" w:after="0"/>
        <w:jc w:val="both"/>
        <w:rPr>
          <w:rFonts w:ascii="Arial" w:hAnsi="Arial"/>
          <w:color w:val="auto"/>
          <w:sz w:val="20"/>
          <w:szCs w:val="20"/>
        </w:rPr>
      </w:pPr>
      <w:r>
        <w:rPr>
          <w:rFonts w:eastAsia="Arial" w:cs="Arial" w:ascii="Arial" w:hAnsi="Arial"/>
          <w:color w:val="auto"/>
          <w:sz w:val="20"/>
          <w:szCs w:val="20"/>
        </w:rPr>
        <w:t xml:space="preserve">Em processo de análise de ato de admissão de pessoal, a unidade técnica requisitou ao responsável documentos necessários à instrução e à apreciação da legalidade do ato, mas as diligências não foram atendidas nos prazos fixados, mesmo após nova notificação com advertência expressa quanto à possibilidade de aplicação de multa. Em sede de Recurso de Reconsideração, sustentou-se que havia equívoco quanto ao concurso público relacionado à admissão examinada, além de dificuldades para localizar documentos em razão do longo período transcorrido e da ausência de adequada transição administrativa entre gestões. O Tribunal afastou as justificativas, destacando que, diante de uma diligência regularmente determinada, cabia ao responsável apresentar os documentos solicitados ou comunicar, tempestivamente, eventual impossibilidade ou dificuldade de atendimento. Com fundamento no art. 62, inciso V, da Lei Estadual nº 12.509/1995 (LOTCE), </w:t>
      </w:r>
      <w:r>
        <w:rPr>
          <w:rFonts w:eastAsia="Arial" w:cs="Arial" w:ascii="Arial" w:hAnsi="Arial"/>
          <w:color w:val="auto"/>
          <w:sz w:val="20"/>
          <w:szCs w:val="20"/>
        </w:rPr>
        <w:t xml:space="preserve">o </w:t>
      </w:r>
      <w:r>
        <w:rPr>
          <w:rFonts w:eastAsia="Arial" w:cs="Arial" w:ascii="Arial" w:hAnsi="Arial"/>
          <w:color w:val="auto"/>
          <w:sz w:val="20"/>
          <w:szCs w:val="20"/>
        </w:rPr>
        <w:t>Tribunal</w:t>
      </w:r>
      <w:r>
        <w:rPr>
          <w:rFonts w:eastAsia="Arial" w:cs="Arial" w:ascii="Arial" w:hAnsi="Arial"/>
          <w:color w:val="auto"/>
          <w:sz w:val="20"/>
          <w:szCs w:val="20"/>
        </w:rPr>
        <w:t xml:space="preserve"> reconheceu que o não atendimento injustificado de diligência constitui fundamento autônomo para a aplicação de multa, uma vez que compromete a instrução processual e dificulta o exercício do controle externo. </w:t>
      </w:r>
      <w:r>
        <w:rPr>
          <w:rFonts w:eastAsia="Arial" w:cs="Arial" w:ascii="Arial" w:hAnsi="Arial"/>
          <w:color w:val="auto"/>
          <w:sz w:val="20"/>
          <w:szCs w:val="20"/>
        </w:rPr>
        <w:t>A</w:t>
      </w:r>
      <w:r>
        <w:rPr>
          <w:rFonts w:eastAsia="Arial" w:cs="Arial" w:ascii="Arial" w:hAnsi="Arial"/>
          <w:color w:val="auto"/>
          <w:sz w:val="20"/>
          <w:szCs w:val="20"/>
        </w:rPr>
        <w:t xml:space="preserve"> apresentação posterior ou parcial de documentos não descaracteriza o descumprimento já consumado nem elimina os efeitos processuais decorrentes da inércia no prazo originalmente estabelecido. A documentação posteriormente encaminhada deverá ser juntada ao processo principal, para análise </w:t>
      </w:r>
      <w:r>
        <w:rPr>
          <w:rFonts w:eastAsia="Arial" w:cs="Arial" w:ascii="Arial" w:hAnsi="Arial"/>
          <w:color w:val="auto"/>
          <w:sz w:val="20"/>
          <w:szCs w:val="20"/>
        </w:rPr>
        <w:t xml:space="preserve">de mérito </w:t>
      </w:r>
      <w:r>
        <w:rPr>
          <w:rFonts w:eastAsia="Arial" w:cs="Arial" w:ascii="Arial" w:hAnsi="Arial"/>
          <w:color w:val="auto"/>
          <w:sz w:val="20"/>
          <w:szCs w:val="20"/>
        </w:rPr>
        <w:t xml:space="preserve">quanto ao ato de </w:t>
      </w:r>
      <w:r>
        <w:rPr>
          <w:rFonts w:eastAsia="Arial" w:cs="Arial" w:ascii="Arial" w:hAnsi="Arial"/>
          <w:color w:val="auto"/>
          <w:sz w:val="20"/>
          <w:szCs w:val="20"/>
        </w:rPr>
        <w:t>nomeação</w:t>
      </w:r>
      <w:r>
        <w:rPr>
          <w:rFonts w:eastAsia="Arial" w:cs="Arial" w:ascii="Arial" w:hAnsi="Arial"/>
          <w:color w:val="auto"/>
          <w:sz w:val="20"/>
          <w:szCs w:val="20"/>
        </w:rPr>
        <w:t xml:space="preserve">, sem prejuízo da manutenção da penalidade decorrente do descumprimento da diligência. </w:t>
      </w:r>
      <w:r>
        <w:rPr>
          <w:rFonts w:eastAsia="Arial" w:cs="Arial" w:ascii="Arial" w:hAnsi="Arial"/>
          <w:color w:val="auto"/>
          <w:sz w:val="20"/>
          <w:szCs w:val="20"/>
        </w:rPr>
        <w:t>Assim, o</w:t>
      </w:r>
      <w:r>
        <w:rPr>
          <w:rFonts w:eastAsia="Arial" w:cs="Arial" w:ascii="Arial" w:hAnsi="Arial"/>
          <w:color w:val="auto"/>
          <w:sz w:val="20"/>
          <w:szCs w:val="20"/>
        </w:rPr>
        <w:t xml:space="preserve"> Pleno </w:t>
      </w:r>
      <w:r>
        <w:rPr>
          <w:rFonts w:eastAsia="Arial" w:cs="Arial" w:ascii="Arial" w:hAnsi="Arial"/>
          <w:color w:val="auto"/>
          <w:sz w:val="20"/>
          <w:szCs w:val="20"/>
        </w:rPr>
        <w:t xml:space="preserve">do Tribunal de Contas do Estado do Ceará, </w:t>
      </w:r>
      <w:r>
        <w:rPr>
          <w:rFonts w:eastAsia="Arial" w:cs="Arial" w:ascii="Arial" w:hAnsi="Arial"/>
          <w:color w:val="auto"/>
          <w:sz w:val="20"/>
          <w:szCs w:val="20"/>
        </w:rPr>
        <w:t>mediante voto de desempate do Presidente,</w:t>
      </w:r>
      <w:r>
        <w:rPr>
          <w:rFonts w:eastAsia="Arial" w:cs="Arial" w:ascii="Arial" w:hAnsi="Arial"/>
          <w:color w:val="auto"/>
          <w:sz w:val="20"/>
          <w:szCs w:val="20"/>
        </w:rPr>
        <w:t xml:space="preserve"> negou provimento </w:t>
      </w:r>
      <w:r>
        <w:rPr>
          <w:rFonts w:eastAsia="Arial" w:cs="Arial" w:ascii="Arial" w:hAnsi="Arial"/>
          <w:color w:val="auto"/>
          <w:sz w:val="20"/>
          <w:szCs w:val="20"/>
        </w:rPr>
        <w:t>ao recu</w:t>
      </w:r>
      <w:r>
        <w:rPr>
          <w:rFonts w:eastAsia="Arial" w:cs="Arial" w:ascii="Arial" w:hAnsi="Arial"/>
          <w:color w:val="auto"/>
          <w:sz w:val="20"/>
          <w:szCs w:val="20"/>
        </w:rPr>
        <w:t>r</w:t>
      </w:r>
      <w:r>
        <w:rPr>
          <w:rFonts w:eastAsia="Arial" w:cs="Arial" w:ascii="Arial" w:hAnsi="Arial"/>
          <w:color w:val="auto"/>
          <w:sz w:val="20"/>
          <w:szCs w:val="20"/>
        </w:rPr>
        <w:t>so</w:t>
      </w:r>
      <w:r>
        <w:rPr>
          <w:rFonts w:eastAsia="Arial" w:cs="Arial" w:ascii="Arial" w:hAnsi="Arial"/>
          <w:color w:val="auto"/>
          <w:sz w:val="20"/>
          <w:szCs w:val="20"/>
        </w:rPr>
        <w:t xml:space="preserve">, mantendo </w:t>
      </w:r>
      <w:r>
        <w:rPr>
          <w:rFonts w:eastAsia="Arial" w:cs="Arial" w:ascii="Arial" w:hAnsi="Arial"/>
          <w:color w:val="auto"/>
          <w:sz w:val="20"/>
          <w:szCs w:val="20"/>
        </w:rPr>
        <w:t>a multa aplicada com fundamento do art. 62,V, da LOTCE.</w:t>
      </w:r>
    </w:p>
    <w:p>
      <w:pPr>
        <w:pStyle w:val="BodyText"/>
        <w:spacing w:lineRule="auto" w:line="240" w:before="0" w:after="0"/>
        <w:jc w:val="both"/>
        <w:rPr>
          <w:rFonts w:ascii="Arial" w:hAnsi="Arial" w:eastAsia="Arial" w:cs="Arial"/>
          <w:color w:val="auto"/>
          <w:sz w:val="18"/>
          <w:szCs w:val="18"/>
        </w:rPr>
      </w:pPr>
      <w:r>
        <w:rPr>
          <w:rFonts w:eastAsia="Arial" w:cs="Arial" w:ascii="Arial" w:hAnsi="Arial"/>
          <w:color w:val="auto"/>
          <w:sz w:val="18"/>
          <w:szCs w:val="18"/>
        </w:rPr>
      </w:r>
    </w:p>
    <w:p>
      <w:pPr>
        <w:pStyle w:val="Normal"/>
        <w:spacing w:lineRule="auto" w:line="240" w:before="0" w:after="0"/>
        <w:jc w:val="both"/>
        <w:rPr/>
      </w:pPr>
      <w:hyperlink r:id="rId9">
        <w:r>
          <w:rPr>
            <w:rStyle w:val="Hyperlink"/>
            <w:rFonts w:ascii="Arial" w:hAnsi="Arial"/>
            <w:color w:val="auto"/>
            <w:sz w:val="18"/>
            <w:szCs w:val="18"/>
          </w:rPr>
          <w:t>Processo n.º 03909/2024-1</w:t>
        </w:r>
      </w:hyperlink>
      <w:r>
        <w:rPr>
          <w:rStyle w:val="Hyperlink"/>
          <w:rFonts w:eastAsia="Arial" w:cs="Arial" w:ascii="Arial" w:hAnsi="Arial"/>
          <w:color w:val="000000"/>
          <w:sz w:val="18"/>
          <w:szCs w:val="18"/>
          <w:u w:val="none"/>
          <w:shd w:fill="FFFFFF" w:val="clear"/>
        </w:rPr>
        <w:t>.</w:t>
      </w:r>
      <w:r>
        <w:rPr>
          <w:rFonts w:eastAsia="Arial" w:cs="Arial" w:ascii="Arial" w:hAnsi="Arial"/>
          <w:color w:val="000000"/>
          <w:sz w:val="18"/>
          <w:szCs w:val="18"/>
          <w:u w:val="none"/>
          <w:shd w:fill="FFFFFF" w:val="clear"/>
        </w:rPr>
        <w:t xml:space="preserve">  Relator(a): Cons. </w:t>
      </w:r>
      <w:r>
        <w:rPr>
          <w:rFonts w:eastAsia="Arial" w:cs="Arial" w:ascii="Arial" w:hAnsi="Arial"/>
          <w:b w:val="false"/>
          <w:bCs w:val="false"/>
          <w:color w:val="000000"/>
          <w:sz w:val="18"/>
          <w:szCs w:val="18"/>
          <w:u w:val="none"/>
          <w:shd w:fill="FFFFFF" w:val="clear"/>
        </w:rPr>
        <w:t>Edilberto Pontes</w:t>
      </w:r>
      <w:r>
        <w:rPr>
          <w:rFonts w:eastAsia="Arial" w:cs="Arial" w:ascii="Arial" w:hAnsi="Arial"/>
          <w:color w:val="000000"/>
          <w:sz w:val="18"/>
          <w:szCs w:val="18"/>
          <w:u w:val="none"/>
          <w:shd w:fill="FFFFFF" w:val="clear"/>
        </w:rPr>
        <w:t xml:space="preserve">.  Sessão: </w:t>
      </w:r>
      <w:r>
        <w:rPr>
          <w:rFonts w:eastAsia="Arial" w:cs="Arial" w:ascii="Arial" w:hAnsi="Arial"/>
          <w:color w:val="000000"/>
          <w:sz w:val="18"/>
          <w:szCs w:val="18"/>
          <w:u w:val="none"/>
          <w:shd w:fill="FFFFFF" w:val="clear"/>
        </w:rPr>
        <w:t xml:space="preserve">Pleno </w:t>
      </w:r>
      <w:r>
        <w:rPr>
          <w:rFonts w:eastAsia="Arial" w:cs="Arial" w:ascii="Arial" w:hAnsi="Arial"/>
          <w:color w:val="000000"/>
          <w:sz w:val="18"/>
          <w:szCs w:val="18"/>
          <w:u w:val="none"/>
          <w:shd w:fill="FFFFFF" w:val="clear"/>
        </w:rPr>
        <w:t xml:space="preserve">de </w:t>
      </w:r>
      <w:r>
        <w:rPr>
          <w:rFonts w:eastAsia="Arial" w:cs="Arial" w:ascii="Arial" w:hAnsi="Arial"/>
          <w:color w:val="000000"/>
          <w:sz w:val="18"/>
          <w:szCs w:val="18"/>
          <w:u w:val="none"/>
          <w:shd w:fill="FFFFFF" w:val="clear"/>
        </w:rPr>
        <w:t>27/07</w:t>
      </w:r>
      <w:r>
        <w:rPr>
          <w:rFonts w:eastAsia="Arial" w:cs="Arial" w:ascii="Arial" w:hAnsi="Arial"/>
          <w:color w:val="000000"/>
          <w:sz w:val="18"/>
          <w:szCs w:val="18"/>
          <w:u w:val="none"/>
          <w:shd w:fill="FFFFFF" w:val="clear"/>
        </w:rPr>
        <w:t>/2026.   Ata n.º 2</w:t>
      </w:r>
      <w:r>
        <w:rPr>
          <w:rFonts w:eastAsia="Arial" w:cs="Arial" w:ascii="Arial" w:hAnsi="Arial"/>
          <w:color w:val="000000"/>
          <w:sz w:val="18"/>
          <w:szCs w:val="18"/>
          <w:u w:val="none"/>
          <w:shd w:fill="FFFFFF" w:val="clear"/>
        </w:rPr>
        <w:t>76</w:t>
      </w:r>
      <w:r>
        <w:rPr>
          <w:rFonts w:eastAsia="Arial" w:cs="Arial" w:ascii="Arial" w:hAnsi="Arial"/>
          <w:color w:val="000000"/>
          <w:sz w:val="18"/>
          <w:szCs w:val="18"/>
          <w:u w:val="none"/>
          <w:shd w:fill="FFFFFF" w:val="clear"/>
        </w:rPr>
        <w:t>/2026.   DO: 2</w:t>
      </w:r>
      <w:r>
        <w:rPr>
          <w:rFonts w:eastAsia="Arial" w:cs="Arial" w:ascii="Arial" w:hAnsi="Arial"/>
          <w:color w:val="000000"/>
          <w:sz w:val="18"/>
          <w:szCs w:val="18"/>
          <w:u w:val="none"/>
          <w:shd w:fill="FFFFFF" w:val="clear"/>
        </w:rPr>
        <w:t>5</w:t>
      </w:r>
      <w:r>
        <w:rPr>
          <w:rFonts w:eastAsia="Arial" w:cs="Arial" w:ascii="Arial" w:hAnsi="Arial"/>
          <w:color w:val="000000"/>
          <w:sz w:val="18"/>
          <w:szCs w:val="18"/>
          <w:u w:val="none"/>
          <w:shd w:fill="FFFFFF" w:val="clear"/>
        </w:rPr>
        <w:t>/0</w:t>
      </w:r>
      <w:r>
        <w:rPr>
          <w:rFonts w:eastAsia="Arial" w:cs="Arial" w:ascii="Arial" w:hAnsi="Arial"/>
          <w:color w:val="000000"/>
          <w:sz w:val="18"/>
          <w:szCs w:val="18"/>
          <w:u w:val="none"/>
          <w:shd w:fill="FFFFFF" w:val="clear"/>
        </w:rPr>
        <w:t>8</w:t>
      </w:r>
      <w:r>
        <w:rPr>
          <w:rFonts w:eastAsia="Arial" w:cs="Arial" w:ascii="Arial" w:hAnsi="Arial"/>
          <w:color w:val="000000"/>
          <w:sz w:val="18"/>
          <w:szCs w:val="18"/>
          <w:u w:val="none"/>
          <w:shd w:fill="FFFFFF" w:val="clear"/>
        </w:rPr>
        <w:t>/2026.</w:t>
      </w:r>
    </w:p>
    <w:p>
      <w:pPr>
        <w:pStyle w:val="Normal"/>
        <w:spacing w:lineRule="auto" w:line="240" w:before="0" w:after="0"/>
        <w:jc w:val="both"/>
        <w:rPr>
          <w:rFonts w:ascii="Arial" w:hAnsi="Arial" w:eastAsia="Arial" w:cs="Arial"/>
          <w:color w:val="auto"/>
          <w:sz w:val="18"/>
          <w:szCs w:val="18"/>
          <w:u w:val="none"/>
          <w:shd w:fill="FFFFFF" w:val="clear"/>
        </w:rPr>
      </w:pPr>
      <w:r>
        <w:rPr>
          <w:rFonts w:eastAsia="Arial" w:cs="Arial" w:ascii="Arial" w:hAnsi="Arial"/>
          <w:color w:val="000000"/>
          <w:sz w:val="18"/>
          <w:szCs w:val="18"/>
          <w:u w:val="none"/>
          <w:shd w:fill="FFFFFF" w:val="clear"/>
        </w:rPr>
      </w:r>
    </w:p>
    <w:p>
      <w:pPr>
        <w:pStyle w:val="Normal"/>
        <w:spacing w:lineRule="auto" w:line="240" w:before="0" w:after="0"/>
        <w:jc w:val="both"/>
        <w:rPr>
          <w:rFonts w:ascii="Arial" w:hAnsi="Arial" w:eastAsia="Arial" w:cs="Arial"/>
          <w:color w:val="C9211E"/>
          <w:sz w:val="18"/>
          <w:szCs w:val="18"/>
          <w:shd w:fill="FFFFFF" w:val="clear"/>
        </w:rPr>
      </w:pPr>
      <w:r>
        <w:rPr>
          <w:rFonts w:eastAsia="Arial" w:cs="Arial" w:ascii="Arial" w:hAnsi="Arial"/>
          <w:color w:val="C9211E"/>
          <w:sz w:val="18"/>
          <w:szCs w:val="18"/>
          <w:shd w:fill="FFFFFF" w:val="clear"/>
        </w:rPr>
        <w:drawing>
          <wp:anchor behindDoc="1" distT="0" distB="0" distL="0" distR="0" simplePos="0" locked="0" layoutInCell="1" allowOverlap="1" relativeHeight="13">
            <wp:simplePos x="0" y="0"/>
            <wp:positionH relativeFrom="column">
              <wp:posOffset>-19050</wp:posOffset>
            </wp:positionH>
            <wp:positionV relativeFrom="paragraph">
              <wp:posOffset>5715</wp:posOffset>
            </wp:positionV>
            <wp:extent cx="6820535" cy="433705"/>
            <wp:effectExtent l="0" t="0" r="0" b="0"/>
            <wp:wrapNone/>
            <wp:docPr id="6" name="Figura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4" descr="" title=""/>
                    <pic:cNvPicPr>
                      <a:picLocks noChangeAspect="1" noChangeArrowheads="1"/>
                    </pic:cNvPicPr>
                  </pic:nvPicPr>
                  <pic:blipFill>
                    <a:blip r:embed="rId10"/>
                    <a:srcRect l="-6" t="-135" r="-6" b="-135"/>
                    <a:stretch>
                      <a:fillRect/>
                    </a:stretch>
                  </pic:blipFill>
                  <pic:spPr bwMode="auto">
                    <a:xfrm>
                      <a:off x="0" y="0"/>
                      <a:ext cx="6820535" cy="433705"/>
                    </a:xfrm>
                    <a:prstGeom prst="rect">
                      <a:avLst/>
                    </a:prstGeom>
                  </pic:spPr>
                </pic:pic>
              </a:graphicData>
            </a:graphic>
          </wp:anchor>
        </w:drawing>
      </w:r>
    </w:p>
    <w:p>
      <w:pPr>
        <w:pStyle w:val="Normal"/>
        <w:spacing w:lineRule="auto" w:line="240" w:before="0" w:after="0"/>
        <w:jc w:val="center"/>
        <w:rPr>
          <w:rFonts w:ascii="Arial" w:hAnsi="Arial"/>
          <w:sz w:val="22"/>
          <w:szCs w:val="22"/>
        </w:rPr>
      </w:pPr>
      <w:r>
        <w:rPr>
          <w:rFonts w:eastAsia="Arial" w:cs="Arial" w:ascii="Arial" w:hAnsi="Arial"/>
          <w:b/>
          <w:bCs/>
          <w:color w:val="FFFFFF"/>
          <w:sz w:val="22"/>
          <w:szCs w:val="22"/>
        </w:rPr>
        <w:t xml:space="preserve">ACÓRDÃO Nº </w:t>
      </w:r>
      <w:r>
        <w:rPr>
          <w:rFonts w:eastAsia="Arial" w:cs="Arial" w:ascii="Arial" w:hAnsi="Arial"/>
          <w:b/>
          <w:bCs/>
          <w:color w:val="FFFFFF"/>
          <w:sz w:val="22"/>
          <w:szCs w:val="22"/>
        </w:rPr>
        <w:t>6525</w:t>
      </w:r>
      <w:r>
        <w:rPr>
          <w:rFonts w:eastAsia="Arial" w:cs="Arial" w:ascii="Arial" w:hAnsi="Arial"/>
          <w:b/>
          <w:bCs/>
          <w:color w:val="FFFFFF"/>
          <w:sz w:val="22"/>
          <w:szCs w:val="22"/>
        </w:rPr>
        <w:t>/2026</w:t>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jc w:val="both"/>
        <w:rPr>
          <w:rFonts w:ascii="Arial" w:hAnsi="Arial"/>
          <w:sz w:val="24"/>
          <w:szCs w:val="24"/>
        </w:rPr>
      </w:pPr>
      <w:r>
        <w:rPr>
          <w:rFonts w:eastAsia="Arial" w:cs="Arial" w:ascii="Arial" w:hAnsi="Arial"/>
          <w:b/>
          <w:bCs/>
          <w:color w:val="auto"/>
          <w:sz w:val="24"/>
          <w:szCs w:val="24"/>
        </w:rPr>
        <w:t xml:space="preserve">RECURSO DE RECONSIDERAÇÃO. </w:t>
      </w:r>
      <w:r>
        <w:rPr>
          <w:rFonts w:eastAsia="Arial" w:cs="Arial" w:ascii="Arial" w:hAnsi="Arial"/>
          <w:b/>
          <w:bCs/>
          <w:color w:val="auto"/>
          <w:sz w:val="24"/>
          <w:szCs w:val="24"/>
        </w:rPr>
        <w:t xml:space="preserve">PRESTAÇÃO DE CONTAS DE GESTÃO. </w:t>
      </w:r>
      <w:r>
        <w:rPr>
          <w:rFonts w:eastAsia="Arial" w:cs="Arial" w:ascii="Arial" w:hAnsi="Arial"/>
          <w:b/>
          <w:bCs/>
          <w:color w:val="auto"/>
          <w:sz w:val="24"/>
          <w:szCs w:val="24"/>
        </w:rPr>
        <w:t xml:space="preserve">COVID-19. </w:t>
      </w:r>
      <w:r>
        <w:rPr>
          <w:rFonts w:eastAsia="Arial" w:cs="Arial" w:ascii="Arial" w:hAnsi="Arial"/>
          <w:b/>
          <w:bCs/>
          <w:color w:val="auto"/>
          <w:sz w:val="24"/>
          <w:szCs w:val="24"/>
        </w:rPr>
        <w:t>SUSPENSÃO DO PRAZO PRESCRICIONAL</w:t>
      </w:r>
      <w:r>
        <w:rPr>
          <w:rFonts w:eastAsia="Arial" w:cs="Arial" w:ascii="Arial" w:hAnsi="Arial"/>
          <w:b/>
          <w:bCs/>
          <w:color w:val="auto"/>
          <w:sz w:val="24"/>
          <w:szCs w:val="24"/>
        </w:rPr>
        <w:t xml:space="preserve">. </w:t>
      </w:r>
      <w:r>
        <w:rPr>
          <w:rFonts w:eastAsia="Arial" w:cs="Arial" w:ascii="Arial" w:hAnsi="Arial"/>
          <w:b/>
          <w:bCs/>
          <w:color w:val="auto"/>
          <w:sz w:val="24"/>
          <w:szCs w:val="24"/>
        </w:rPr>
        <w:t>PORTARIA.</w:t>
      </w:r>
      <w:r>
        <w:rPr>
          <w:rFonts w:eastAsia="Arial" w:cs="Arial" w:ascii="Arial" w:hAnsi="Arial"/>
          <w:b/>
          <w:bCs/>
          <w:color w:val="auto"/>
          <w:sz w:val="24"/>
          <w:szCs w:val="24"/>
        </w:rPr>
        <w:t xml:space="preserve"> </w:t>
      </w:r>
      <w:r>
        <w:rPr>
          <w:rFonts w:eastAsia="Arial" w:cs="Arial" w:ascii="Arial" w:hAnsi="Arial"/>
          <w:b/>
          <w:bCs/>
          <w:color w:val="auto"/>
          <w:sz w:val="24"/>
          <w:szCs w:val="24"/>
        </w:rPr>
        <w:t xml:space="preserve">SITUAÇÃO EMERGENCIAL. </w:t>
      </w:r>
      <w:r>
        <w:rPr>
          <w:rFonts w:eastAsia="Arial" w:cs="Arial" w:ascii="Arial" w:hAnsi="Arial"/>
          <w:b/>
          <w:bCs/>
          <w:color w:val="auto"/>
          <w:sz w:val="24"/>
          <w:szCs w:val="24"/>
        </w:rPr>
        <w:t>SALDO FINANCEIRO. RECEITAS E DESPESAS EXTRAORÇAMENTÁRIAS. PROVIMENTO PARCIAL. REDUÇÃO DE MULTAS. MANUTENÇÃO DE DÉBITO. CONTAS IRREGULARES.</w:t>
      </w:r>
    </w:p>
    <w:p>
      <w:pPr>
        <w:pStyle w:val="BodyText"/>
        <w:spacing w:lineRule="auto" w:line="240" w:before="0" w:after="0"/>
        <w:jc w:val="both"/>
        <w:rPr>
          <w:rFonts w:ascii="Arial" w:hAnsi="Arial" w:eastAsia="Arial" w:cs="Arial"/>
          <w:color w:val="auto"/>
          <w:sz w:val="18"/>
          <w:szCs w:val="18"/>
        </w:rPr>
      </w:pPr>
      <w:r>
        <w:rPr>
          <w:rFonts w:eastAsia="Arial" w:cs="Arial" w:ascii="Arial" w:hAnsi="Arial"/>
          <w:color w:val="auto"/>
          <w:sz w:val="18"/>
          <w:szCs w:val="18"/>
        </w:rPr>
      </w:r>
    </w:p>
    <w:p>
      <w:pPr>
        <w:pStyle w:val="BodyText"/>
        <w:spacing w:lineRule="auto" w:line="240" w:before="0" w:after="0"/>
        <w:jc w:val="both"/>
        <w:rPr>
          <w:rFonts w:ascii="Arial" w:hAnsi="Arial" w:eastAsia="Arial" w:cs="Arial"/>
          <w:color w:val="auto"/>
          <w:sz w:val="20"/>
          <w:szCs w:val="20"/>
        </w:rPr>
      </w:pPr>
      <w:r>
        <w:rPr>
          <w:rFonts w:eastAsia="Arial" w:cs="Arial" w:ascii="Arial" w:hAnsi="Arial"/>
          <w:color w:val="auto"/>
          <w:sz w:val="20"/>
          <w:szCs w:val="20"/>
        </w:rPr>
        <w:t xml:space="preserve">Recurso de Reconsideração interposto contra decisão que </w:t>
      </w:r>
      <w:r>
        <w:rPr>
          <w:rFonts w:eastAsia="Arial" w:cs="Arial" w:ascii="Arial" w:hAnsi="Arial"/>
          <w:color w:val="auto"/>
          <w:sz w:val="20"/>
          <w:szCs w:val="20"/>
        </w:rPr>
        <w:t>julgou</w:t>
      </w:r>
      <w:r>
        <w:rPr>
          <w:rFonts w:eastAsia="Arial" w:cs="Arial" w:ascii="Arial" w:hAnsi="Arial"/>
          <w:color w:val="auto"/>
          <w:sz w:val="20"/>
          <w:szCs w:val="20"/>
        </w:rPr>
        <w:t xml:space="preserve"> irregulares contas de gestão de unidade responsável pela </w:t>
      </w:r>
      <w:r>
        <w:rPr>
          <w:rFonts w:eastAsia="Arial" w:cs="Arial" w:ascii="Arial" w:hAnsi="Arial"/>
          <w:color w:val="auto"/>
          <w:sz w:val="20"/>
          <w:szCs w:val="20"/>
        </w:rPr>
        <w:t>E</w:t>
      </w:r>
      <w:r>
        <w:rPr>
          <w:rFonts w:eastAsia="Arial" w:cs="Arial" w:ascii="Arial" w:hAnsi="Arial"/>
          <w:color w:val="auto"/>
          <w:sz w:val="20"/>
          <w:szCs w:val="20"/>
        </w:rPr>
        <w:t xml:space="preserve">ducação. </w:t>
      </w:r>
      <w:r>
        <w:rPr>
          <w:rFonts w:eastAsia="Arial" w:cs="Arial" w:ascii="Arial" w:hAnsi="Arial"/>
          <w:color w:val="auto"/>
          <w:sz w:val="20"/>
          <w:szCs w:val="20"/>
        </w:rPr>
        <w:t>F</w:t>
      </w:r>
      <w:r>
        <w:rPr>
          <w:rFonts w:eastAsia="Arial" w:cs="Arial" w:ascii="Arial" w:hAnsi="Arial"/>
          <w:color w:val="auto"/>
          <w:sz w:val="20"/>
          <w:szCs w:val="20"/>
        </w:rPr>
        <w:t xml:space="preserve">oram examinadas alegações de prescrição e diversas ocorrências relacionadas à documentação da prestação de contas, à alimentação do Sistema de Informações Municipais (SIM), à comprovação do saldo financeiro, às movimentações extraorçamentárias, às notas explicativas e à aplicação dos recursos do Fundeb. </w:t>
      </w:r>
      <w:r>
        <w:rPr>
          <w:rFonts w:eastAsia="Arial" w:cs="Arial" w:ascii="Arial" w:hAnsi="Arial"/>
          <w:color w:val="auto"/>
          <w:sz w:val="20"/>
          <w:szCs w:val="20"/>
        </w:rPr>
        <w:t xml:space="preserve">O Tribunal </w:t>
      </w:r>
      <w:r>
        <w:rPr>
          <w:rFonts w:eastAsia="Arial" w:cs="Arial" w:ascii="Arial" w:hAnsi="Arial"/>
          <w:color w:val="auto"/>
          <w:sz w:val="20"/>
          <w:szCs w:val="20"/>
        </w:rPr>
        <w:t xml:space="preserve">afastou a alegação de prescrição, reconhecendo a validade da suspensão do prazo prescricional </w:t>
      </w:r>
      <w:r>
        <w:rPr>
          <w:rFonts w:eastAsia="Arial" w:cs="Arial" w:ascii="Arial" w:hAnsi="Arial"/>
          <w:color w:val="auto"/>
          <w:sz w:val="20"/>
          <w:szCs w:val="20"/>
        </w:rPr>
        <w:t>mediante a edição de portarias</w:t>
      </w:r>
      <w:r>
        <w:rPr>
          <w:rFonts w:eastAsia="Arial" w:cs="Arial" w:ascii="Arial" w:hAnsi="Arial"/>
          <w:color w:val="auto"/>
          <w:sz w:val="20"/>
          <w:szCs w:val="20"/>
        </w:rPr>
        <w:t xml:space="preserve"> durante o período excepcional da pandemia da COVID-19, com fundamento no art. 313, VI, do Código de Processo Civil e em precedentes do próprio Tribunal, segundo os quais as medidas adotadas decorreram de situação de força maior e não constituíram nova hipótese autônoma de suspensão prescricional. </w:t>
      </w:r>
      <w:r>
        <w:rPr>
          <w:rFonts w:eastAsia="Arial" w:cs="Arial" w:ascii="Arial" w:hAnsi="Arial"/>
          <w:color w:val="auto"/>
          <w:sz w:val="20"/>
          <w:szCs w:val="20"/>
        </w:rPr>
        <w:t xml:space="preserve">O </w:t>
      </w:r>
      <w:r>
        <w:rPr>
          <w:rFonts w:eastAsia="Arial" w:cs="Arial" w:ascii="Arial" w:hAnsi="Arial"/>
          <w:color w:val="auto"/>
          <w:sz w:val="20"/>
          <w:szCs w:val="20"/>
        </w:rPr>
        <w:t xml:space="preserve">Tribunal reconheceu o saneamento de parte das falhas documentais e afastou as respectivas sanções, mantendo, contudo, a orientação para que a Administração instrua adequadamente os processos de prestação de contas. Quanto às informações no SIM, assentou que a apresentação posterior dos documentos de uma contratação não elimina </w:t>
      </w:r>
      <w:r>
        <w:rPr>
          <w:rFonts w:eastAsia="Arial" w:cs="Arial" w:ascii="Arial" w:hAnsi="Arial"/>
          <w:color w:val="auto"/>
          <w:sz w:val="20"/>
          <w:szCs w:val="20"/>
        </w:rPr>
        <w:t>o registro</w:t>
      </w:r>
      <w:r>
        <w:rPr>
          <w:rFonts w:eastAsia="Arial" w:cs="Arial" w:ascii="Arial" w:hAnsi="Arial"/>
          <w:color w:val="auto"/>
          <w:sz w:val="20"/>
          <w:szCs w:val="20"/>
        </w:rPr>
        <w:t xml:space="preserve"> tempestiv</w:t>
      </w:r>
      <w:r>
        <w:rPr>
          <w:rFonts w:eastAsia="Arial" w:cs="Arial" w:ascii="Arial" w:hAnsi="Arial"/>
          <w:color w:val="auto"/>
          <w:sz w:val="20"/>
          <w:szCs w:val="20"/>
        </w:rPr>
        <w:t>o</w:t>
      </w:r>
      <w:r>
        <w:rPr>
          <w:rFonts w:eastAsia="Arial" w:cs="Arial" w:ascii="Arial" w:hAnsi="Arial"/>
          <w:color w:val="auto"/>
          <w:sz w:val="20"/>
          <w:szCs w:val="20"/>
        </w:rPr>
        <w:t xml:space="preserve"> dos dados exigidos pelo controle externo. Também foi mantido o débito decorrente da insuficiente comprovação do saldo financeiro, observando-se a vedação à reforma da decisão em prejuízo do recorrente. A sanção relativa às inconsistências nas movimentações extraorçamentárias foi afastada após a correção de erro material na apuração. Em relação às notas explicativas, manteve-</w:t>
      </w:r>
      <w:r>
        <w:rPr>
          <w:rFonts w:eastAsia="Arial" w:cs="Arial" w:ascii="Arial" w:hAnsi="Arial"/>
          <w:color w:val="auto"/>
          <w:sz w:val="20"/>
          <w:szCs w:val="20"/>
        </w:rPr>
        <w:t>se</w:t>
      </w:r>
      <w:r>
        <w:rPr>
          <w:rFonts w:eastAsia="Arial" w:cs="Arial" w:ascii="Arial" w:hAnsi="Arial"/>
          <w:color w:val="auto"/>
          <w:sz w:val="20"/>
          <w:szCs w:val="20"/>
        </w:rPr>
        <w:t xml:space="preserve"> a penalidade, destacando-</w:t>
      </w:r>
      <w:r>
        <w:rPr>
          <w:rFonts w:eastAsia="Arial" w:cs="Arial" w:ascii="Arial" w:hAnsi="Arial"/>
          <w:color w:val="auto"/>
          <w:sz w:val="20"/>
          <w:szCs w:val="20"/>
        </w:rPr>
        <w:t>se</w:t>
      </w:r>
      <w:r>
        <w:rPr>
          <w:rFonts w:eastAsia="Arial" w:cs="Arial" w:ascii="Arial" w:hAnsi="Arial"/>
          <w:color w:val="auto"/>
          <w:sz w:val="20"/>
          <w:szCs w:val="20"/>
        </w:rPr>
        <w:t xml:space="preserve"> que sua mera apresentação formal não </w:t>
      </w:r>
      <w:r>
        <w:rPr>
          <w:rFonts w:eastAsia="Arial" w:cs="Arial" w:ascii="Arial" w:hAnsi="Arial"/>
          <w:color w:val="auto"/>
          <w:sz w:val="20"/>
          <w:szCs w:val="20"/>
        </w:rPr>
        <w:t>é suficiente, eis que</w:t>
      </w:r>
      <w:r>
        <w:rPr>
          <w:rFonts w:eastAsia="Arial" w:cs="Arial" w:ascii="Arial" w:hAnsi="Arial"/>
          <w:color w:val="auto"/>
          <w:sz w:val="20"/>
          <w:szCs w:val="20"/>
        </w:rPr>
        <w:t xml:space="preserve"> devem complementar efetivamente as demonstrações contábeis e permitir sua adequada compreensão. Por outro lado, foi afastada a sanção referente à suposta não aplicação do percentual mínimo do Fundeb na remuneração dos profissionais do </w:t>
      </w:r>
      <w:r>
        <w:rPr>
          <w:rFonts w:eastAsia="Arial" w:cs="Arial" w:ascii="Arial" w:hAnsi="Arial"/>
          <w:color w:val="auto"/>
          <w:sz w:val="20"/>
          <w:szCs w:val="20"/>
        </w:rPr>
        <w:t>M</w:t>
      </w:r>
      <w:r>
        <w:rPr>
          <w:rFonts w:eastAsia="Arial" w:cs="Arial" w:ascii="Arial" w:hAnsi="Arial"/>
          <w:color w:val="auto"/>
          <w:sz w:val="20"/>
          <w:szCs w:val="20"/>
        </w:rPr>
        <w:t xml:space="preserve">agistério, diante da comprovação, em sede recursal, do cumprimento da exigência. </w:t>
      </w:r>
      <w:r>
        <w:rPr>
          <w:rFonts w:eastAsia="Arial" w:cs="Arial" w:ascii="Arial" w:hAnsi="Arial"/>
          <w:color w:val="auto"/>
          <w:sz w:val="20"/>
          <w:szCs w:val="20"/>
        </w:rPr>
        <w:t>Dessa forma, o</w:t>
      </w:r>
      <w:r>
        <w:rPr>
          <w:rFonts w:eastAsia="Arial" w:cs="Arial" w:ascii="Arial" w:hAnsi="Arial"/>
          <w:color w:val="auto"/>
          <w:sz w:val="20"/>
          <w:szCs w:val="20"/>
        </w:rPr>
        <w:t xml:space="preserve"> Pleno do Tribunal de Contas, por unanimidade de votos, conheceu do</w:t>
      </w:r>
      <w:r>
        <w:rPr>
          <w:rFonts w:eastAsia="Arial" w:cs="Arial" w:ascii="Arial" w:hAnsi="Arial"/>
          <w:color w:val="auto"/>
          <w:sz w:val="20"/>
          <w:szCs w:val="20"/>
        </w:rPr>
        <w:t xml:space="preserve"> recurso </w:t>
      </w:r>
      <w:r>
        <w:rPr>
          <w:rFonts w:eastAsia="Arial" w:cs="Arial" w:ascii="Arial" w:hAnsi="Arial"/>
          <w:color w:val="auto"/>
          <w:sz w:val="20"/>
          <w:szCs w:val="20"/>
        </w:rPr>
        <w:t xml:space="preserve">julgando-o </w:t>
      </w:r>
      <w:r>
        <w:rPr>
          <w:rFonts w:eastAsia="Arial" w:cs="Arial" w:ascii="Arial" w:hAnsi="Arial"/>
          <w:color w:val="auto"/>
          <w:sz w:val="20"/>
          <w:szCs w:val="20"/>
        </w:rPr>
        <w:t xml:space="preserve">parcialmente provido, com redução das sanções e manutenção do julgamento das contas como irregulares. </w:t>
      </w:r>
    </w:p>
    <w:p>
      <w:pPr>
        <w:pStyle w:val="BodyText"/>
        <w:spacing w:lineRule="auto" w:line="240" w:before="0" w:after="0"/>
        <w:jc w:val="both"/>
        <w:rPr>
          <w:rFonts w:ascii="Arial" w:hAnsi="Arial" w:eastAsia="Arial" w:cs="Arial"/>
          <w:color w:val="auto"/>
          <w:kern w:val="0"/>
          <w:sz w:val="18"/>
          <w:szCs w:val="18"/>
          <w:u w:val="none"/>
          <w:shd w:fill="FFFFFF" w:val="clear"/>
          <w:lang w:val="pt-BR" w:eastAsia="pt-BR" w:bidi="ar-SA"/>
        </w:rPr>
      </w:pPr>
      <w:r>
        <w:rPr>
          <w:rFonts w:eastAsia="Arial" w:cs="Arial" w:ascii="Arial" w:hAnsi="Arial"/>
          <w:color w:val="000000"/>
          <w:kern w:val="0"/>
          <w:sz w:val="18"/>
          <w:szCs w:val="18"/>
          <w:u w:val="none"/>
          <w:shd w:fill="FFFFFF" w:val="clear"/>
          <w:lang w:val="pt-BR" w:eastAsia="pt-BR" w:bidi="ar-SA"/>
        </w:rPr>
      </w:r>
    </w:p>
    <w:p>
      <w:pPr>
        <w:pStyle w:val="Normal"/>
        <w:spacing w:lineRule="auto" w:line="240" w:before="0" w:after="0"/>
        <w:jc w:val="both"/>
        <w:rPr/>
      </w:pPr>
      <w:hyperlink r:id="rId11">
        <w:r>
          <w:rPr>
            <w:rStyle w:val="Hyperlink"/>
            <w:rFonts w:ascii="Arial" w:hAnsi="Arial"/>
            <w:color w:val="auto"/>
            <w:sz w:val="18"/>
            <w:szCs w:val="18"/>
            <w:u w:val="single"/>
          </w:rPr>
          <w:t>Processo n.º 20828/2021-0</w:t>
        </w:r>
      </w:hyperlink>
      <w:r>
        <w:rPr>
          <w:rStyle w:val="Hyperlink"/>
          <w:rFonts w:eastAsia="Arial" w:cs="Arial" w:ascii="Arial" w:hAnsi="Arial"/>
          <w:color w:val="000000"/>
          <w:kern w:val="0"/>
          <w:sz w:val="18"/>
          <w:szCs w:val="18"/>
          <w:u w:val="none"/>
          <w:shd w:fill="FFFFFF" w:val="clear"/>
          <w:lang w:val="pt-BR" w:eastAsia="pt-BR" w:bidi="ar-SA"/>
        </w:rPr>
        <w:t xml:space="preserve">.   </w:t>
      </w:r>
      <w:r>
        <w:rPr>
          <w:rFonts w:eastAsia="Arial" w:cs="Arial" w:ascii="Arial" w:hAnsi="Arial"/>
          <w:color w:val="000000"/>
          <w:kern w:val="0"/>
          <w:sz w:val="18"/>
          <w:szCs w:val="18"/>
          <w:u w:val="none"/>
          <w:shd w:fill="FFFFFF" w:val="clear"/>
          <w:lang w:val="pt-BR" w:eastAsia="pt-BR" w:bidi="ar-SA"/>
        </w:rPr>
        <w:t xml:space="preserve">Relator(a): </w:t>
      </w:r>
      <w:r>
        <w:rPr>
          <w:rFonts w:eastAsia="Arial" w:cs="Arial" w:ascii="Arial" w:hAnsi="Arial"/>
          <w:color w:val="000000"/>
          <w:kern w:val="0"/>
          <w:sz w:val="18"/>
          <w:szCs w:val="18"/>
          <w:u w:val="none"/>
          <w:shd w:fill="FFFFFF" w:val="clear"/>
          <w:lang w:val="pt-BR" w:eastAsia="pt-BR" w:bidi="ar-SA"/>
        </w:rPr>
        <w:t xml:space="preserve">Cons. </w:t>
      </w:r>
      <w:r>
        <w:rPr>
          <w:rFonts w:eastAsia="Arial" w:cs="Arial" w:ascii="Arial" w:hAnsi="Arial"/>
          <w:color w:val="000000"/>
          <w:kern w:val="0"/>
          <w:sz w:val="18"/>
          <w:szCs w:val="18"/>
          <w:u w:val="none"/>
          <w:shd w:fill="FFFFFF" w:val="clear"/>
          <w:lang w:val="pt-BR" w:eastAsia="pt-BR" w:bidi="ar-SA"/>
        </w:rPr>
        <w:t>Edilberto Pontes.</w:t>
      </w:r>
      <w:r>
        <w:rPr>
          <w:rFonts w:ascii="Arial" w:hAnsi="Arial"/>
          <w:color w:val="auto"/>
          <w:kern w:val="0"/>
          <w:sz w:val="18"/>
          <w:szCs w:val="18"/>
          <w:lang w:val="pt-BR" w:eastAsia="pt-BR" w:bidi="ar-SA"/>
        </w:rPr>
        <w:t xml:space="preserve">   Sessão: </w:t>
      </w:r>
      <w:r>
        <w:rPr>
          <w:rFonts w:ascii="Arial" w:hAnsi="Arial"/>
          <w:color w:val="auto"/>
          <w:kern w:val="0"/>
          <w:sz w:val="18"/>
          <w:szCs w:val="18"/>
          <w:lang w:val="pt-BR" w:eastAsia="pt-BR" w:bidi="ar-SA"/>
        </w:rPr>
        <w:t>Pleno</w:t>
      </w:r>
      <w:r>
        <w:rPr>
          <w:rFonts w:ascii="Arial" w:hAnsi="Arial"/>
          <w:color w:val="auto"/>
          <w:kern w:val="0"/>
          <w:sz w:val="18"/>
          <w:szCs w:val="18"/>
          <w:lang w:val="pt-BR" w:eastAsia="pt-BR" w:bidi="ar-SA"/>
        </w:rPr>
        <w:t xml:space="preserve"> de </w:t>
      </w:r>
      <w:r>
        <w:rPr>
          <w:rFonts w:ascii="Arial" w:hAnsi="Arial"/>
          <w:color w:val="auto"/>
          <w:kern w:val="0"/>
          <w:sz w:val="18"/>
          <w:szCs w:val="18"/>
          <w:lang w:val="pt-BR" w:eastAsia="pt-BR" w:bidi="ar-SA"/>
        </w:rPr>
        <w:t>27/07</w:t>
      </w:r>
      <w:r>
        <w:rPr>
          <w:rFonts w:ascii="Arial" w:hAnsi="Arial"/>
          <w:color w:val="auto"/>
          <w:kern w:val="0"/>
          <w:sz w:val="18"/>
          <w:szCs w:val="18"/>
          <w:lang w:val="pt-BR" w:eastAsia="pt-BR" w:bidi="ar-SA"/>
        </w:rPr>
        <w:t xml:space="preserve">/2026.   Ata n.º </w:t>
      </w:r>
      <w:r>
        <w:rPr>
          <w:rFonts w:ascii="Arial" w:hAnsi="Arial"/>
          <w:color w:val="000000"/>
          <w:kern w:val="0"/>
          <w:sz w:val="18"/>
          <w:szCs w:val="18"/>
          <w:shd w:fill="auto" w:val="clear"/>
          <w:lang w:val="pt-BR" w:eastAsia="pt-BR" w:bidi="ar-SA"/>
        </w:rPr>
        <w:t>2</w:t>
      </w:r>
      <w:r>
        <w:rPr>
          <w:rFonts w:ascii="Arial" w:hAnsi="Arial"/>
          <w:color w:val="000000"/>
          <w:kern w:val="0"/>
          <w:sz w:val="18"/>
          <w:szCs w:val="18"/>
          <w:shd w:fill="auto" w:val="clear"/>
          <w:lang w:val="pt-BR" w:eastAsia="pt-BR" w:bidi="ar-SA"/>
        </w:rPr>
        <w:t>76</w:t>
      </w:r>
      <w:r>
        <w:rPr>
          <w:rFonts w:ascii="Arial" w:hAnsi="Arial"/>
          <w:color w:val="000000"/>
          <w:kern w:val="0"/>
          <w:sz w:val="18"/>
          <w:szCs w:val="18"/>
          <w:shd w:fill="auto" w:val="clear"/>
          <w:lang w:val="pt-BR" w:eastAsia="pt-BR" w:bidi="ar-SA"/>
        </w:rPr>
        <w:t>/2026.  DO: 2</w:t>
      </w:r>
      <w:r>
        <w:rPr>
          <w:rFonts w:ascii="Arial" w:hAnsi="Arial"/>
          <w:color w:val="000000"/>
          <w:kern w:val="0"/>
          <w:sz w:val="18"/>
          <w:szCs w:val="18"/>
          <w:shd w:fill="auto" w:val="clear"/>
          <w:lang w:val="pt-BR" w:eastAsia="pt-BR" w:bidi="ar-SA"/>
        </w:rPr>
        <w:t>5</w:t>
      </w:r>
      <w:r>
        <w:rPr>
          <w:rFonts w:ascii="Arial" w:hAnsi="Arial"/>
          <w:color w:val="000000"/>
          <w:kern w:val="0"/>
          <w:sz w:val="18"/>
          <w:szCs w:val="18"/>
          <w:shd w:fill="auto" w:val="clear"/>
          <w:lang w:val="pt-BR" w:eastAsia="pt-BR" w:bidi="ar-SA"/>
        </w:rPr>
        <w:t>/0</w:t>
      </w:r>
      <w:r>
        <w:rPr>
          <w:rFonts w:ascii="Arial" w:hAnsi="Arial"/>
          <w:color w:val="000000"/>
          <w:kern w:val="0"/>
          <w:sz w:val="18"/>
          <w:szCs w:val="18"/>
          <w:shd w:fill="auto" w:val="clear"/>
          <w:lang w:val="pt-BR" w:eastAsia="pt-BR" w:bidi="ar-SA"/>
        </w:rPr>
        <w:t>8</w:t>
      </w:r>
      <w:r>
        <w:rPr>
          <w:rFonts w:ascii="Arial" w:hAnsi="Arial"/>
          <w:color w:val="000000"/>
          <w:kern w:val="0"/>
          <w:sz w:val="18"/>
          <w:szCs w:val="18"/>
          <w:shd w:fill="auto" w:val="clear"/>
          <w:lang w:val="pt-BR" w:eastAsia="pt-BR" w:bidi="ar-SA"/>
        </w:rPr>
        <w:t>/2026.</w:t>
      </w:r>
    </w:p>
    <w:p>
      <w:pPr>
        <w:pStyle w:val="Normal"/>
        <w:spacing w:lineRule="auto" w:line="240" w:before="0" w:after="0"/>
        <w:jc w:val="both"/>
        <w:rPr>
          <w:rFonts w:ascii="Arial" w:hAnsi="Arial"/>
          <w:color w:val="C9211E"/>
          <w:sz w:val="18"/>
          <w:szCs w:val="18"/>
        </w:rPr>
      </w:pPr>
      <w:r>
        <w:rPr>
          <w:rFonts w:ascii="Arial" w:hAnsi="Arial"/>
          <w:color w:val="C9211E"/>
          <w:sz w:val="18"/>
          <w:szCs w:val="18"/>
        </w:rPr>
        <w:drawing>
          <wp:anchor behindDoc="1" distT="0" distB="0" distL="0" distR="0" simplePos="0" locked="0" layoutInCell="1" allowOverlap="1" relativeHeight="20">
            <wp:simplePos x="0" y="0"/>
            <wp:positionH relativeFrom="column">
              <wp:posOffset>59055</wp:posOffset>
            </wp:positionH>
            <wp:positionV relativeFrom="paragraph">
              <wp:posOffset>73660</wp:posOffset>
            </wp:positionV>
            <wp:extent cx="6774180" cy="478155"/>
            <wp:effectExtent l="0" t="0" r="0" b="0"/>
            <wp:wrapNone/>
            <wp:docPr id="7" name="Figura7 Copia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7 Copia 1" descr="" title=""/>
                    <pic:cNvPicPr>
                      <a:picLocks noChangeAspect="1" noChangeArrowheads="1"/>
                    </pic:cNvPicPr>
                  </pic:nvPicPr>
                  <pic:blipFill>
                    <a:blip r:embed="rId12"/>
                    <a:srcRect l="-6" t="-135" r="-6" b="-135"/>
                    <a:stretch>
                      <a:fillRect/>
                    </a:stretch>
                  </pic:blipFill>
                  <pic:spPr bwMode="auto">
                    <a:xfrm>
                      <a:off x="0" y="0"/>
                      <a:ext cx="6774180" cy="478155"/>
                    </a:xfrm>
                    <a:prstGeom prst="rect">
                      <a:avLst/>
                    </a:prstGeom>
                  </pic:spPr>
                </pic:pic>
              </a:graphicData>
            </a:graphic>
          </wp:anchor>
        </w:drawing>
      </w:r>
    </w:p>
    <w:p>
      <w:pPr>
        <w:pStyle w:val="Normal"/>
        <w:spacing w:lineRule="auto" w:line="240" w:before="0" w:after="0"/>
        <w:jc w:val="both"/>
        <w:rPr>
          <w:rFonts w:ascii="Arial" w:hAnsi="Arial" w:eastAsia="Arial" w:cs="Arial"/>
          <w:color w:val="C9211E"/>
          <w:sz w:val="18"/>
          <w:szCs w:val="18"/>
        </w:rPr>
      </w:pPr>
      <w:r>
        <w:rPr>
          <w:rFonts w:eastAsia="Arial" w:cs="Arial" w:ascii="Arial" w:hAnsi="Arial"/>
          <w:color w:val="C9211E"/>
          <w:sz w:val="18"/>
          <w:szCs w:val="18"/>
        </w:rPr>
      </w:r>
    </w:p>
    <w:p>
      <w:pPr>
        <w:pStyle w:val="Heading2"/>
        <w:spacing w:lineRule="auto" w:line="240" w:before="0" w:after="0"/>
        <w:ind w:hanging="0" w:start="0" w:end="0"/>
        <w:jc w:val="center"/>
        <w:rPr>
          <w:rFonts w:ascii="Arial" w:hAnsi="Arial"/>
          <w:color w:val="FFFFFF"/>
          <w:sz w:val="18"/>
          <w:szCs w:val="18"/>
        </w:rPr>
      </w:pPr>
      <w:r>
        <w:rPr>
          <w:rFonts w:eastAsia="Arial" w:cs="Arial" w:ascii="Arial" w:hAnsi="Arial"/>
          <w:b/>
          <w:bCs/>
          <w:color w:val="FFFFFF"/>
          <w:sz w:val="22"/>
          <w:szCs w:val="22"/>
          <w:shd w:fill="auto" w:val="clear"/>
        </w:rPr>
        <w:t xml:space="preserve">ACÓRDÃO Nº </w:t>
      </w:r>
      <w:r>
        <w:rPr>
          <w:rFonts w:ascii="Arial" w:hAnsi="Arial"/>
          <w:color w:val="FFFFFF"/>
          <w:sz w:val="22"/>
          <w:szCs w:val="22"/>
        </w:rPr>
        <w:t>6280/2026</w:t>
      </w:r>
      <w:r>
        <w:rPr>
          <w:rFonts w:ascii="Arial" w:hAnsi="Arial"/>
          <w:color w:val="FFFFFF"/>
          <w:sz w:val="18"/>
          <w:szCs w:val="18"/>
        </w:rPr>
        <w:t xml:space="preserve"> </w:t>
      </w:r>
    </w:p>
    <w:p>
      <w:pPr>
        <w:pStyle w:val="Normal"/>
        <w:spacing w:lineRule="auto" w:line="240" w:before="0" w:after="0"/>
        <w:ind w:hanging="0" w:start="0" w:end="0"/>
        <w:jc w:val="center"/>
        <w:rPr>
          <w:rFonts w:ascii="Arial" w:hAnsi="Arial"/>
          <w:color w:val="FFFFFF"/>
          <w:sz w:val="18"/>
          <w:szCs w:val="18"/>
        </w:rPr>
      </w:pPr>
      <w:r>
        <w:rPr>
          <w:rFonts w:ascii="Arial" w:hAnsi="Arial"/>
          <w:color w:val="FFFFFF"/>
          <w:sz w:val="18"/>
          <w:szCs w:val="18"/>
        </w:rPr>
      </w:r>
    </w:p>
    <w:p>
      <w:pPr>
        <w:pStyle w:val="Normal"/>
        <w:spacing w:lineRule="auto" w:line="240" w:before="0" w:after="0"/>
        <w:ind w:hanging="0" w:start="0" w:end="0"/>
        <w:jc w:val="center"/>
        <w:rPr>
          <w:rFonts w:ascii="Arial" w:hAnsi="Arial"/>
          <w:color w:val="FFFFFF"/>
          <w:sz w:val="18"/>
          <w:szCs w:val="18"/>
        </w:rPr>
      </w:pPr>
      <w:r>
        <w:rPr>
          <w:rFonts w:ascii="Arial" w:hAnsi="Arial"/>
          <w:color w:val="FFFFFF"/>
          <w:sz w:val="18"/>
          <w:szCs w:val="18"/>
        </w:rPr>
      </w:r>
    </w:p>
    <w:p>
      <w:pPr>
        <w:pStyle w:val="BodyText"/>
        <w:spacing w:lineRule="auto" w:line="240" w:before="0" w:after="0"/>
        <w:jc w:val="both"/>
        <w:rPr>
          <w:rFonts w:ascii="Arial" w:hAnsi="Arial"/>
          <w:color w:val="auto"/>
          <w:sz w:val="24"/>
          <w:szCs w:val="24"/>
        </w:rPr>
      </w:pPr>
      <w:r>
        <w:rPr>
          <w:rFonts w:eastAsia="Arial" w:cs="Arial" w:ascii="Arial" w:hAnsi="Arial"/>
          <w:b/>
          <w:bCs/>
          <w:color w:val="auto"/>
          <w:sz w:val="24"/>
          <w:szCs w:val="24"/>
        </w:rPr>
        <w:t xml:space="preserve">TOMADA DE CONTAS ESPECIAL. PRESTAÇÃO DE CONTAS. </w:t>
      </w:r>
      <w:r>
        <w:rPr>
          <w:rFonts w:eastAsia="Arial" w:cs="Arial" w:ascii="Arial" w:hAnsi="Arial"/>
          <w:b/>
          <w:bCs/>
          <w:color w:val="auto"/>
          <w:sz w:val="24"/>
          <w:szCs w:val="24"/>
        </w:rPr>
        <w:t xml:space="preserve">LICITAÇÃO. </w:t>
      </w:r>
      <w:r>
        <w:rPr>
          <w:rFonts w:eastAsia="Arial" w:cs="Arial" w:ascii="Arial" w:hAnsi="Arial"/>
          <w:b/>
          <w:bCs/>
          <w:color w:val="auto"/>
          <w:sz w:val="24"/>
          <w:szCs w:val="24"/>
        </w:rPr>
        <w:t xml:space="preserve">EXECUÇÃO DE </w:t>
      </w:r>
      <w:r>
        <w:rPr>
          <w:rFonts w:eastAsia="Arial" w:cs="Arial" w:ascii="Arial" w:hAnsi="Arial"/>
          <w:b/>
          <w:bCs/>
          <w:color w:val="auto"/>
          <w:sz w:val="24"/>
          <w:szCs w:val="24"/>
        </w:rPr>
        <w:t xml:space="preserve">CONVÊNIO. DEVER DE PRESTAR CONTAS. LAPSO TEMPORAL. </w:t>
      </w:r>
      <w:r>
        <w:rPr>
          <w:rFonts w:eastAsia="Arial" w:cs="Arial" w:ascii="Arial" w:hAnsi="Arial"/>
          <w:b/>
          <w:bCs/>
          <w:color w:val="auto"/>
          <w:sz w:val="24"/>
          <w:szCs w:val="24"/>
        </w:rPr>
        <w:t>PRINCÍPIO DO</w:t>
      </w:r>
      <w:r>
        <w:rPr>
          <w:rFonts w:ascii="Arial" w:hAnsi="Arial"/>
          <w:b/>
          <w:bCs/>
          <w:color w:val="auto"/>
          <w:sz w:val="24"/>
          <w:szCs w:val="24"/>
        </w:rPr>
        <w:t xml:space="preserve"> </w:t>
      </w:r>
      <w:r>
        <w:rPr>
          <w:rFonts w:eastAsia="Arial" w:cs="Arial" w:ascii="Arial" w:hAnsi="Arial"/>
          <w:b/>
          <w:bCs/>
          <w:color w:val="auto"/>
          <w:sz w:val="24"/>
          <w:szCs w:val="24"/>
        </w:rPr>
        <w:t xml:space="preserve">CONTRADITÓRIO. </w:t>
      </w:r>
      <w:r>
        <w:rPr>
          <w:rFonts w:eastAsia="Arial" w:cs="Arial" w:ascii="Arial" w:hAnsi="Arial"/>
          <w:b/>
          <w:bCs/>
          <w:color w:val="auto"/>
          <w:sz w:val="24"/>
          <w:szCs w:val="24"/>
        </w:rPr>
        <w:t xml:space="preserve">PRINCÍPIO DA </w:t>
      </w:r>
      <w:r>
        <w:rPr>
          <w:rFonts w:eastAsia="Arial" w:cs="Arial" w:ascii="Arial" w:hAnsi="Arial"/>
          <w:b/>
          <w:bCs/>
          <w:color w:val="auto"/>
          <w:sz w:val="24"/>
          <w:szCs w:val="24"/>
        </w:rPr>
        <w:t xml:space="preserve">AMPLA DEFESA. </w:t>
      </w:r>
      <w:r>
        <w:rPr>
          <w:rFonts w:eastAsia="Arial" w:cs="Arial" w:ascii="Arial" w:hAnsi="Arial"/>
          <w:b/>
          <w:bCs/>
          <w:color w:val="auto"/>
          <w:sz w:val="24"/>
          <w:szCs w:val="24"/>
        </w:rPr>
        <w:t>AUSÊNCIA DOS PRESSUPOSTOS PARA O DESENVOLVIMENTO VÁLIDO E REGULAR DO PROCESSO. EXTINÇÃO SEM RESOLUÇÃO DE MÉRITO.</w:t>
      </w:r>
    </w:p>
    <w:p>
      <w:pPr>
        <w:pStyle w:val="BodyText"/>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BodyText"/>
        <w:spacing w:lineRule="auto" w:line="240" w:before="0" w:after="0"/>
        <w:jc w:val="both"/>
        <w:rPr>
          <w:rFonts w:ascii="Arial" w:hAnsi="Arial" w:eastAsia="Arial" w:cs="Arial"/>
          <w:color w:val="auto"/>
          <w:sz w:val="20"/>
          <w:szCs w:val="20"/>
        </w:rPr>
      </w:pPr>
      <w:r>
        <w:rPr>
          <w:rFonts w:eastAsia="Arial" w:cs="Arial" w:ascii="Arial" w:hAnsi="Arial"/>
          <w:color w:val="auto"/>
          <w:sz w:val="20"/>
          <w:szCs w:val="20"/>
        </w:rPr>
        <w:t>Tomada de Contas Especial instaurada para apurar supostas impropriedades na execução de convênio celebrado para a construção de unidades habitacionais, diante de possível omissão no dever de prestar contas. No curso da análise, o Tribunal verificou que transcorreram mais de 19 anos entre a provável ocorrência do fato danoso e a primeira notificação administrativa dos responsáveis. A Corte considerou que esse expressivo lapso temporal compromete</w:t>
      </w:r>
      <w:r>
        <w:rPr>
          <w:rFonts w:eastAsia="Arial" w:cs="Arial" w:ascii="Arial" w:hAnsi="Arial"/>
          <w:color w:val="auto"/>
          <w:sz w:val="20"/>
          <w:szCs w:val="20"/>
        </w:rPr>
        <w:t>u</w:t>
      </w:r>
      <w:r>
        <w:rPr>
          <w:rFonts w:eastAsia="Arial" w:cs="Arial" w:ascii="Arial" w:hAnsi="Arial"/>
          <w:color w:val="auto"/>
          <w:sz w:val="20"/>
          <w:szCs w:val="20"/>
        </w:rPr>
        <w:t xml:space="preserve"> o contraditório e a ampla defesa, sobretudo porque pode dificultar a obtenção de documentos e elementos necessários à </w:t>
      </w:r>
      <w:r>
        <w:rPr>
          <w:rFonts w:eastAsia="Arial" w:cs="Arial" w:ascii="Arial" w:hAnsi="Arial"/>
          <w:color w:val="auto"/>
          <w:sz w:val="20"/>
          <w:szCs w:val="20"/>
        </w:rPr>
        <w:t>comprovação</w:t>
      </w:r>
      <w:r>
        <w:rPr>
          <w:rFonts w:eastAsia="Arial" w:cs="Arial" w:ascii="Arial" w:hAnsi="Arial"/>
          <w:color w:val="auto"/>
          <w:sz w:val="20"/>
          <w:szCs w:val="20"/>
        </w:rPr>
        <w:t xml:space="preserve"> da execução física e financeira do ajuste. Nesse contexto, foi aplicado o art. 8º, inciso II, da Instrução Normativa TCE/CE nº 03/2017, que contempla situação em que o decurso de prazo superior a dez anos entre a provável ocorrência do dano e a primeira notificação possa prejudicar o exercício da defesa. Também foram considerados o art. 387 do Regimento Interno do TCE/CE, o art. 485, inciso IV, do Código de Processo Civil e o art. 48, inciso I, da LOTCE/CE, diante da ausência de pressupostos para o desenvolvimento válido e regular do processo. </w:t>
      </w:r>
      <w:r>
        <w:rPr>
          <w:rFonts w:eastAsia="Arial" w:cs="Arial" w:ascii="Arial" w:hAnsi="Arial"/>
          <w:color w:val="auto"/>
          <w:sz w:val="20"/>
          <w:szCs w:val="20"/>
        </w:rPr>
        <w:t>O Pleno do</w:t>
      </w:r>
      <w:r>
        <w:rPr>
          <w:rFonts w:eastAsia="Arial" w:cs="Arial" w:ascii="Arial" w:hAnsi="Arial"/>
          <w:color w:val="auto"/>
          <w:sz w:val="20"/>
          <w:szCs w:val="20"/>
        </w:rPr>
        <w:t xml:space="preserve"> Tribunal </w:t>
      </w:r>
      <w:r>
        <w:rPr>
          <w:rFonts w:eastAsia="Arial" w:cs="Arial" w:ascii="Arial" w:hAnsi="Arial"/>
          <w:color w:val="auto"/>
          <w:sz w:val="20"/>
          <w:szCs w:val="20"/>
        </w:rPr>
        <w:t xml:space="preserve">de Contas do Estado do Ceará, por </w:t>
      </w:r>
      <w:r>
        <w:rPr>
          <w:rFonts w:eastAsia="Arial" w:cs="Arial" w:ascii="Arial" w:hAnsi="Arial"/>
          <w:color w:val="auto"/>
          <w:sz w:val="20"/>
          <w:szCs w:val="20"/>
        </w:rPr>
        <w:t>maioria de votos, julgou</w:t>
      </w:r>
      <w:r>
        <w:rPr>
          <w:rFonts w:eastAsia="Arial" w:cs="Arial" w:ascii="Arial" w:hAnsi="Arial"/>
          <w:color w:val="auto"/>
          <w:sz w:val="20"/>
          <w:szCs w:val="20"/>
        </w:rPr>
        <w:t xml:space="preserve"> </w:t>
      </w:r>
      <w:r>
        <w:rPr>
          <w:rFonts w:eastAsia="Arial" w:cs="Arial" w:ascii="Arial" w:hAnsi="Arial"/>
          <w:color w:val="auto"/>
          <w:sz w:val="20"/>
          <w:szCs w:val="20"/>
        </w:rPr>
        <w:t>extinta</w:t>
      </w:r>
      <w:r>
        <w:rPr>
          <w:rFonts w:eastAsia="Arial" w:cs="Arial" w:ascii="Arial" w:hAnsi="Arial"/>
          <w:color w:val="auto"/>
          <w:sz w:val="20"/>
          <w:szCs w:val="20"/>
        </w:rPr>
        <w:t xml:space="preserve"> a Tomada de Contas Especial sem resolução de mérito, sem que essa providência implique reconhecimento da regularidade das contas ou afaste, por si só, a possibilidade de adoção das medidas administrativas e judiciais cabíveis.</w:t>
      </w:r>
    </w:p>
    <w:p>
      <w:pPr>
        <w:pStyle w:val="BodyText"/>
        <w:spacing w:lineRule="auto" w:line="240" w:before="0" w:after="0"/>
        <w:jc w:val="both"/>
        <w:rPr>
          <w:rFonts w:ascii="Arial" w:hAnsi="Arial" w:eastAsia="Arial" w:cs="Arial"/>
          <w:color w:val="auto"/>
          <w:sz w:val="18"/>
          <w:szCs w:val="18"/>
        </w:rPr>
      </w:pPr>
      <w:r>
        <w:rPr>
          <w:rFonts w:eastAsia="Arial" w:cs="Arial" w:ascii="Arial" w:hAnsi="Arial"/>
          <w:color w:val="auto"/>
          <w:sz w:val="18"/>
          <w:szCs w:val="18"/>
        </w:rPr>
      </w:r>
    </w:p>
    <w:p>
      <w:pPr>
        <w:pStyle w:val="BodyText"/>
        <w:spacing w:lineRule="auto" w:line="240" w:before="0" w:after="0"/>
        <w:jc w:val="both"/>
        <w:rPr/>
      </w:pPr>
      <w:hyperlink r:id="rId13">
        <w:r>
          <w:rPr>
            <w:rStyle w:val="Hyperlink"/>
            <w:rFonts w:ascii="Arial" w:hAnsi="Arial"/>
            <w:color w:val="auto"/>
            <w:sz w:val="18"/>
            <w:szCs w:val="18"/>
          </w:rPr>
          <w:t>Processo n.º 26626/2025-1</w:t>
        </w:r>
      </w:hyperlink>
      <w:r>
        <w:rPr>
          <w:rStyle w:val="Hyperlink"/>
          <w:rFonts w:ascii="Arial" w:hAnsi="Arial"/>
          <w:color w:val="auto"/>
          <w:sz w:val="18"/>
          <w:szCs w:val="18"/>
          <w:u w:val="none"/>
        </w:rPr>
        <w:t>.</w:t>
      </w:r>
      <w:r>
        <w:rPr>
          <w:rFonts w:ascii="Arial" w:hAnsi="Arial"/>
          <w:color w:val="auto"/>
          <w:sz w:val="18"/>
          <w:szCs w:val="18"/>
          <w:u w:val="none"/>
        </w:rPr>
        <w:t xml:space="preserve">   Relator(a): </w:t>
      </w:r>
      <w:r>
        <w:rPr>
          <w:rFonts w:ascii="Arial" w:hAnsi="Arial"/>
          <w:color w:val="auto"/>
          <w:sz w:val="18"/>
          <w:szCs w:val="18"/>
          <w:u w:val="none"/>
        </w:rPr>
        <w:t xml:space="preserve">Cons. </w:t>
      </w:r>
      <w:r>
        <w:rPr>
          <w:rFonts w:ascii="Arial" w:hAnsi="Arial"/>
          <w:color w:val="auto"/>
          <w:sz w:val="18"/>
          <w:szCs w:val="18"/>
          <w:u w:val="none"/>
        </w:rPr>
        <w:t xml:space="preserve">Ernesto Saboia.   Sessão: </w:t>
      </w:r>
      <w:r>
        <w:rPr>
          <w:rFonts w:ascii="Arial" w:hAnsi="Arial"/>
          <w:color w:val="auto"/>
          <w:sz w:val="18"/>
          <w:szCs w:val="18"/>
          <w:u w:val="none"/>
        </w:rPr>
        <w:t>Pleno</w:t>
      </w:r>
      <w:r>
        <w:rPr>
          <w:rFonts w:ascii="Arial" w:hAnsi="Arial"/>
          <w:color w:val="auto"/>
          <w:sz w:val="18"/>
          <w:szCs w:val="18"/>
          <w:u w:val="none"/>
        </w:rPr>
        <w:t xml:space="preserve"> de </w:t>
      </w:r>
      <w:r>
        <w:rPr>
          <w:rFonts w:ascii="Arial" w:hAnsi="Arial"/>
          <w:color w:val="auto"/>
          <w:sz w:val="18"/>
          <w:szCs w:val="18"/>
          <w:u w:val="none"/>
        </w:rPr>
        <w:t>20</w:t>
      </w:r>
      <w:r>
        <w:rPr>
          <w:rFonts w:ascii="Arial" w:hAnsi="Arial"/>
          <w:color w:val="auto"/>
          <w:sz w:val="18"/>
          <w:szCs w:val="18"/>
          <w:u w:val="none"/>
        </w:rPr>
        <w:t>/0</w:t>
      </w:r>
      <w:r>
        <w:rPr>
          <w:rFonts w:ascii="Arial" w:hAnsi="Arial"/>
          <w:color w:val="auto"/>
          <w:sz w:val="18"/>
          <w:szCs w:val="18"/>
          <w:u w:val="none"/>
        </w:rPr>
        <w:t>7</w:t>
      </w:r>
      <w:r>
        <w:rPr>
          <w:rFonts w:ascii="Arial" w:hAnsi="Arial"/>
          <w:color w:val="auto"/>
          <w:sz w:val="18"/>
          <w:szCs w:val="18"/>
          <w:u w:val="none"/>
        </w:rPr>
        <w:t xml:space="preserve">/2026.   Ata n.º </w:t>
      </w:r>
      <w:r>
        <w:rPr>
          <w:rFonts w:ascii="Arial" w:hAnsi="Arial"/>
          <w:color w:val="auto"/>
          <w:sz w:val="18"/>
          <w:szCs w:val="18"/>
          <w:u w:val="none"/>
        </w:rPr>
        <w:t>275</w:t>
      </w:r>
      <w:r>
        <w:rPr>
          <w:rFonts w:ascii="Arial" w:hAnsi="Arial"/>
          <w:color w:val="auto"/>
          <w:sz w:val="18"/>
          <w:szCs w:val="18"/>
          <w:u w:val="none"/>
        </w:rPr>
        <w:t xml:space="preserve">/2026.   DO: </w:t>
      </w:r>
      <w:r>
        <w:rPr>
          <w:rFonts w:ascii="Arial" w:hAnsi="Arial"/>
          <w:color w:val="auto"/>
          <w:sz w:val="18"/>
          <w:szCs w:val="18"/>
          <w:u w:val="none"/>
        </w:rPr>
        <w:t>10</w:t>
      </w:r>
      <w:r>
        <w:rPr>
          <w:rFonts w:ascii="Arial" w:hAnsi="Arial"/>
          <w:color w:val="auto"/>
          <w:sz w:val="18"/>
          <w:szCs w:val="18"/>
          <w:u w:val="none"/>
        </w:rPr>
        <w:t>/0</w:t>
      </w:r>
      <w:r>
        <w:rPr>
          <w:rFonts w:ascii="Arial" w:hAnsi="Arial"/>
          <w:color w:val="auto"/>
          <w:sz w:val="18"/>
          <w:szCs w:val="18"/>
          <w:u w:val="none"/>
        </w:rPr>
        <w:t>8</w:t>
      </w:r>
      <w:r>
        <w:rPr>
          <w:rFonts w:ascii="Arial" w:hAnsi="Arial"/>
          <w:color w:val="auto"/>
          <w:sz w:val="18"/>
          <w:szCs w:val="18"/>
          <w:u w:val="none"/>
        </w:rPr>
        <w:t>/2026.</w:t>
      </w:r>
    </w:p>
    <w:p>
      <w:pPr>
        <w:pStyle w:val="Normal"/>
        <w:spacing w:lineRule="auto" w:line="240" w:before="0" w:after="0"/>
        <w:jc w:val="both"/>
        <w:rPr>
          <w:rFonts w:ascii="Arial" w:hAnsi="Arial" w:eastAsia="Arial" w:cs="Arial"/>
          <w:color w:val="C9211E"/>
          <w:sz w:val="18"/>
          <w:szCs w:val="18"/>
          <w:shd w:fill="FFFFFF" w:val="clear"/>
        </w:rPr>
      </w:pPr>
      <w:r>
        <w:rPr>
          <w:rFonts w:eastAsia="Arial" w:cs="Arial" w:ascii="Arial" w:hAnsi="Arial"/>
          <w:color w:val="C9211E"/>
          <w:sz w:val="18"/>
          <w:szCs w:val="18"/>
          <w:shd w:fill="FFFFFF" w:val="clear"/>
        </w:rPr>
        <w:drawing>
          <wp:anchor behindDoc="1" distT="0" distB="0" distL="0" distR="0" simplePos="0" locked="0" layoutInCell="1" allowOverlap="1" relativeHeight="14">
            <wp:simplePos x="0" y="0"/>
            <wp:positionH relativeFrom="column">
              <wp:posOffset>-28575</wp:posOffset>
            </wp:positionH>
            <wp:positionV relativeFrom="paragraph">
              <wp:posOffset>67945</wp:posOffset>
            </wp:positionV>
            <wp:extent cx="6838315" cy="479425"/>
            <wp:effectExtent l="0" t="0" r="0" b="0"/>
            <wp:wrapNone/>
            <wp:docPr id="8" name="Figura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5" descr="" title=""/>
                    <pic:cNvPicPr>
                      <a:picLocks noChangeAspect="1" noChangeArrowheads="1"/>
                    </pic:cNvPicPr>
                  </pic:nvPicPr>
                  <pic:blipFill>
                    <a:blip r:embed="rId14"/>
                    <a:srcRect l="-6" t="-135" r="-6" b="-135"/>
                    <a:stretch>
                      <a:fillRect/>
                    </a:stretch>
                  </pic:blipFill>
                  <pic:spPr bwMode="auto">
                    <a:xfrm>
                      <a:off x="0" y="0"/>
                      <a:ext cx="6838315" cy="479425"/>
                    </a:xfrm>
                    <a:prstGeom prst="rect">
                      <a:avLst/>
                    </a:prstGeom>
                  </pic:spPr>
                </pic:pic>
              </a:graphicData>
            </a:graphic>
          </wp:anchor>
        </w:drawing>
      </w:r>
    </w:p>
    <w:p>
      <w:pPr>
        <w:pStyle w:val="Normal"/>
        <w:spacing w:lineRule="auto" w:line="240" w:before="0" w:after="0"/>
        <w:jc w:val="both"/>
        <w:rPr>
          <w:rFonts w:ascii="Arial" w:hAnsi="Arial" w:eastAsia="Arial" w:cs="Arial"/>
          <w:b/>
          <w:bCs/>
          <w:color w:val="C9211E"/>
          <w:sz w:val="18"/>
          <w:szCs w:val="18"/>
        </w:rPr>
      </w:pPr>
      <w:r>
        <w:rPr>
          <w:rFonts w:eastAsia="Arial" w:cs="Arial" w:ascii="Arial" w:hAnsi="Arial"/>
          <w:b/>
          <w:bCs/>
          <w:color w:val="C9211E"/>
          <w:sz w:val="18"/>
          <w:szCs w:val="18"/>
        </w:rPr>
      </w:r>
    </w:p>
    <w:p>
      <w:pPr>
        <w:pStyle w:val="Normal"/>
        <w:spacing w:lineRule="auto" w:line="240" w:before="0" w:after="0"/>
        <w:jc w:val="center"/>
        <w:rPr>
          <w:rFonts w:ascii="Arial" w:hAnsi="Arial"/>
          <w:b/>
          <w:bCs/>
          <w:color w:val="FFFFFF"/>
          <w:sz w:val="22"/>
          <w:szCs w:val="22"/>
        </w:rPr>
      </w:pPr>
      <w:r>
        <w:rPr>
          <w:rFonts w:eastAsia="Arial" w:cs="Arial" w:ascii="Arial" w:hAnsi="Arial"/>
          <w:b/>
          <w:bCs/>
          <w:color w:val="FFFFFF"/>
          <w:sz w:val="22"/>
          <w:szCs w:val="22"/>
        </w:rPr>
        <w:t xml:space="preserve">ACÓRDÃO Nº </w:t>
      </w:r>
      <w:r>
        <w:rPr>
          <w:rFonts w:eastAsia="Arial" w:cs="Arial" w:ascii="Arial" w:hAnsi="Arial"/>
          <w:b/>
          <w:bCs/>
          <w:color w:val="FFFFFF"/>
          <w:sz w:val="22"/>
          <w:szCs w:val="22"/>
        </w:rPr>
        <w:t>5757/2026</w:t>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jc w:val="center"/>
        <w:rPr>
          <w:rFonts w:ascii="Arial" w:hAnsi="Arial" w:eastAsia="Arial" w:cs="Arial"/>
          <w:b/>
          <w:bCs/>
          <w:color w:val="000000"/>
          <w:sz w:val="18"/>
          <w:szCs w:val="18"/>
        </w:rPr>
      </w:pPr>
      <w:r>
        <w:rPr>
          <w:rFonts w:eastAsia="Arial" w:cs="Arial" w:ascii="Arial" w:hAnsi="Arial"/>
          <w:b/>
          <w:bCs/>
          <w:color w:val="000000"/>
          <w:sz w:val="18"/>
          <w:szCs w:val="18"/>
        </w:rPr>
      </w:r>
    </w:p>
    <w:p>
      <w:pPr>
        <w:pStyle w:val="Normal"/>
        <w:spacing w:lineRule="auto" w:line="240" w:before="0" w:after="0"/>
        <w:jc w:val="both"/>
        <w:rPr>
          <w:rFonts w:ascii="Arial" w:hAnsi="Arial"/>
          <w:b/>
          <w:bCs/>
          <w:color w:val="auto"/>
          <w:sz w:val="24"/>
          <w:szCs w:val="24"/>
        </w:rPr>
      </w:pPr>
      <w:r>
        <w:rPr>
          <w:rFonts w:ascii="Arial" w:hAnsi="Arial"/>
          <w:b/>
          <w:bCs/>
          <w:color w:val="auto"/>
          <w:sz w:val="24"/>
          <w:szCs w:val="24"/>
        </w:rPr>
        <w:t xml:space="preserve">RECURSO DE RECONSIDERAÇÃO. DISPENSA DE LICITAÇÃO. </w:t>
      </w:r>
      <w:r>
        <w:rPr>
          <w:rFonts w:ascii="Arial" w:hAnsi="Arial"/>
          <w:b/>
          <w:bCs/>
          <w:color w:val="auto"/>
          <w:sz w:val="24"/>
          <w:szCs w:val="24"/>
        </w:rPr>
        <w:t xml:space="preserve">PROVA DOCUMENTAL. </w:t>
      </w:r>
      <w:r>
        <w:rPr>
          <w:rFonts w:eastAsia="Arial" w:cs="Arial" w:ascii="Arial" w:hAnsi="Arial"/>
          <w:b/>
          <w:bCs/>
          <w:color w:val="auto"/>
          <w:sz w:val="24"/>
          <w:szCs w:val="24"/>
        </w:rPr>
        <w:t xml:space="preserve">DESCUMPRIMENTO DE </w:t>
      </w:r>
      <w:r>
        <w:rPr>
          <w:rFonts w:eastAsia="Arial" w:cs="Arial" w:ascii="Arial" w:hAnsi="Arial"/>
          <w:b/>
          <w:bCs/>
          <w:color w:val="auto"/>
          <w:sz w:val="24"/>
          <w:szCs w:val="24"/>
        </w:rPr>
        <w:t>DILIGÊNCIA</w:t>
      </w:r>
      <w:r>
        <w:rPr>
          <w:rFonts w:ascii="Arial" w:hAnsi="Arial"/>
          <w:b/>
          <w:bCs/>
          <w:color w:val="auto"/>
          <w:sz w:val="24"/>
          <w:szCs w:val="24"/>
        </w:rPr>
        <w:t xml:space="preserve">. </w:t>
      </w:r>
      <w:r>
        <w:rPr>
          <w:rFonts w:ascii="Arial" w:hAnsi="Arial"/>
          <w:b/>
          <w:bCs/>
          <w:color w:val="auto"/>
          <w:sz w:val="24"/>
          <w:szCs w:val="24"/>
        </w:rPr>
        <w:t>NOTIFICAÇÃO POSTAL. PRINCÍPIO DA RAZOABILIDADE. PRINC</w:t>
      </w:r>
      <w:r>
        <w:rPr>
          <w:rFonts w:ascii="Arial" w:hAnsi="Arial"/>
          <w:b/>
          <w:bCs/>
          <w:color w:val="auto"/>
          <w:sz w:val="24"/>
          <w:szCs w:val="24"/>
        </w:rPr>
        <w:t>Í</w:t>
      </w:r>
      <w:r>
        <w:rPr>
          <w:rFonts w:ascii="Arial" w:hAnsi="Arial"/>
          <w:b/>
          <w:bCs/>
          <w:color w:val="auto"/>
          <w:sz w:val="24"/>
          <w:szCs w:val="24"/>
        </w:rPr>
        <w:t>PIO DA PROPORCIONALIDADE.</w:t>
      </w:r>
      <w:r>
        <w:rPr>
          <w:rFonts w:ascii="Arial" w:hAnsi="Arial"/>
          <w:b/>
          <w:bCs/>
          <w:color w:val="auto"/>
          <w:sz w:val="24"/>
          <w:szCs w:val="24"/>
        </w:rPr>
        <w:t xml:space="preserve"> </w:t>
      </w:r>
      <w:r>
        <w:rPr>
          <w:rFonts w:ascii="Arial" w:hAnsi="Arial"/>
          <w:b/>
          <w:bCs/>
          <w:color w:val="auto"/>
          <w:sz w:val="24"/>
          <w:szCs w:val="24"/>
        </w:rPr>
        <w:t>PROVIMENTO PARCIAL. REDUÇÃO DA MULTA.</w:t>
      </w:r>
    </w:p>
    <w:p>
      <w:pPr>
        <w:pStyle w:val="BodyText"/>
        <w:spacing w:lineRule="auto" w:line="240" w:before="0" w:after="0"/>
        <w:jc w:val="both"/>
        <w:rPr>
          <w:rFonts w:ascii="Arial" w:hAnsi="Arial"/>
          <w:b w:val="false"/>
          <w:bCs w:val="false"/>
          <w:color w:val="auto"/>
          <w:sz w:val="18"/>
          <w:szCs w:val="18"/>
        </w:rPr>
      </w:pPr>
      <w:r>
        <w:rPr>
          <w:rFonts w:ascii="Arial" w:hAnsi="Arial"/>
          <w:b w:val="false"/>
          <w:bCs w:val="false"/>
          <w:color w:val="auto"/>
          <w:sz w:val="18"/>
          <w:szCs w:val="18"/>
        </w:rPr>
      </w:r>
    </w:p>
    <w:p>
      <w:pPr>
        <w:pStyle w:val="BodyText"/>
        <w:spacing w:lineRule="auto" w:line="240" w:before="0" w:after="0"/>
        <w:jc w:val="both"/>
        <w:rPr>
          <w:rFonts w:ascii="Arial" w:hAnsi="Arial" w:eastAsia="Arial" w:cs="Arial"/>
          <w:b w:val="false"/>
          <w:bCs w:val="false"/>
          <w:color w:val="auto"/>
          <w:sz w:val="20"/>
          <w:szCs w:val="20"/>
        </w:rPr>
      </w:pPr>
      <w:r>
        <w:rPr>
          <w:rFonts w:eastAsia="Arial" w:cs="Arial" w:ascii="Arial" w:hAnsi="Arial"/>
          <w:b w:val="false"/>
          <w:bCs w:val="false"/>
          <w:color w:val="auto"/>
          <w:sz w:val="20"/>
          <w:szCs w:val="20"/>
        </w:rPr>
        <w:t xml:space="preserve">Recurso de Reconsideração interposto por ex-gestor municipal contra acórdão proferido em sede de Representação, </w:t>
      </w:r>
      <w:r>
        <w:rPr>
          <w:rFonts w:eastAsia="Arial" w:cs="Arial" w:ascii="Arial" w:hAnsi="Arial"/>
          <w:b w:val="false"/>
          <w:bCs w:val="false"/>
          <w:color w:val="auto"/>
          <w:sz w:val="20"/>
          <w:szCs w:val="20"/>
        </w:rPr>
        <w:t>pel</w:t>
      </w:r>
      <w:r>
        <w:rPr>
          <w:rFonts w:eastAsia="Arial" w:cs="Arial" w:ascii="Arial" w:hAnsi="Arial"/>
          <w:b w:val="false"/>
          <w:bCs w:val="false"/>
          <w:color w:val="auto"/>
          <w:sz w:val="20"/>
          <w:szCs w:val="20"/>
        </w:rPr>
        <w:t xml:space="preserve">o qual </w:t>
      </w:r>
      <w:r>
        <w:rPr>
          <w:rFonts w:eastAsia="Arial" w:cs="Arial" w:ascii="Arial" w:hAnsi="Arial"/>
          <w:b w:val="false"/>
          <w:bCs w:val="false"/>
          <w:color w:val="auto"/>
          <w:sz w:val="20"/>
          <w:szCs w:val="20"/>
        </w:rPr>
        <w:t xml:space="preserve">se </w:t>
      </w:r>
      <w:r>
        <w:rPr>
          <w:rFonts w:eastAsia="Arial" w:cs="Arial" w:ascii="Arial" w:hAnsi="Arial"/>
          <w:b w:val="false"/>
          <w:bCs w:val="false"/>
          <w:color w:val="auto"/>
          <w:sz w:val="20"/>
          <w:szCs w:val="20"/>
        </w:rPr>
        <w:t xml:space="preserve">aplicou sanções pecuniárias aos responsáveis em virtude de irregularidades na instrução de processo de </w:t>
      </w:r>
      <w:r>
        <w:rPr>
          <w:rFonts w:eastAsia="Arial" w:cs="Arial" w:ascii="Arial" w:hAnsi="Arial"/>
          <w:b w:val="false"/>
          <w:bCs w:val="false"/>
          <w:color w:val="auto"/>
          <w:sz w:val="20"/>
          <w:szCs w:val="20"/>
        </w:rPr>
        <w:t>D</w:t>
      </w:r>
      <w:r>
        <w:rPr>
          <w:rFonts w:eastAsia="Arial" w:cs="Arial" w:ascii="Arial" w:hAnsi="Arial"/>
          <w:b w:val="false"/>
          <w:bCs w:val="false"/>
          <w:color w:val="auto"/>
          <w:sz w:val="20"/>
          <w:szCs w:val="20"/>
        </w:rPr>
        <w:t xml:space="preserve">ispensa de licitação e do não atendimento a diligências expedidas pela Corte de Contas. Preliminarmente, o </w:t>
      </w:r>
      <w:r>
        <w:rPr>
          <w:rFonts w:eastAsia="Arial" w:cs="Arial" w:ascii="Arial" w:hAnsi="Arial"/>
          <w:b w:val="false"/>
          <w:bCs w:val="false"/>
          <w:color w:val="auto"/>
          <w:sz w:val="20"/>
          <w:szCs w:val="20"/>
        </w:rPr>
        <w:t>R</w:t>
      </w:r>
      <w:r>
        <w:rPr>
          <w:rFonts w:eastAsia="Arial" w:cs="Arial" w:ascii="Arial" w:hAnsi="Arial"/>
          <w:b w:val="false"/>
          <w:bCs w:val="false"/>
          <w:color w:val="auto"/>
          <w:sz w:val="20"/>
          <w:szCs w:val="20"/>
        </w:rPr>
        <w:t xml:space="preserve">ecorrente arguiu nulidade por ausência de notificação pessoal, alegando que o Aviso de Recebimento postal foi assinado por terceiro. O Tribunal rejeitou a preliminar ao consignar que a entrega da comunicação processual no endereço da unidade jurisdicionada atende ao requisito legal do art. 20-C, I, da Lei Orgânica do TCE/CE, sendo desnecessária a assinatura pessoal do gestor e presumindo-se a regularidade do trâmite interno. No mérito, o </w:t>
      </w:r>
      <w:r>
        <w:rPr>
          <w:rFonts w:eastAsia="Arial" w:cs="Arial" w:ascii="Arial" w:hAnsi="Arial"/>
          <w:b w:val="false"/>
          <w:bCs w:val="false"/>
          <w:color w:val="auto"/>
          <w:sz w:val="20"/>
          <w:szCs w:val="20"/>
        </w:rPr>
        <w:t>R</w:t>
      </w:r>
      <w:r>
        <w:rPr>
          <w:rFonts w:eastAsia="Arial" w:cs="Arial" w:ascii="Arial" w:hAnsi="Arial"/>
          <w:b w:val="false"/>
          <w:bCs w:val="false"/>
          <w:color w:val="auto"/>
          <w:sz w:val="20"/>
          <w:szCs w:val="20"/>
        </w:rPr>
        <w:t xml:space="preserve">ecorrente sustentou o saneamento </w:t>
      </w:r>
      <w:r>
        <w:rPr>
          <w:rFonts w:eastAsia="Arial" w:cs="Arial" w:ascii="Arial" w:hAnsi="Arial"/>
          <w:b w:val="false"/>
          <w:bCs w:val="false"/>
          <w:color w:val="auto"/>
          <w:sz w:val="20"/>
          <w:szCs w:val="20"/>
        </w:rPr>
        <w:t>da</w:t>
      </w:r>
      <w:r>
        <w:rPr>
          <w:rFonts w:eastAsia="Arial" w:cs="Arial" w:ascii="Arial" w:hAnsi="Arial"/>
          <w:b w:val="false"/>
          <w:bCs w:val="false"/>
          <w:color w:val="auto"/>
          <w:sz w:val="20"/>
          <w:szCs w:val="20"/>
        </w:rPr>
        <w:t xml:space="preserve"> </w:t>
      </w:r>
      <w:r>
        <w:rPr>
          <w:rFonts w:eastAsia="Arial" w:cs="Arial" w:ascii="Arial" w:hAnsi="Arial"/>
          <w:b w:val="false"/>
          <w:bCs w:val="false"/>
          <w:color w:val="auto"/>
          <w:sz w:val="20"/>
          <w:szCs w:val="20"/>
        </w:rPr>
        <w:t>irregularidade</w:t>
      </w:r>
      <w:r>
        <w:rPr>
          <w:rFonts w:eastAsia="Arial" w:cs="Arial" w:ascii="Arial" w:hAnsi="Arial"/>
          <w:b w:val="false"/>
          <w:bCs w:val="false"/>
          <w:color w:val="auto"/>
          <w:sz w:val="20"/>
          <w:szCs w:val="20"/>
        </w:rPr>
        <w:t xml:space="preserve"> mediante a juntada tardia da documentação do certame. O Pleno </w:t>
      </w:r>
      <w:r>
        <w:rPr>
          <w:rFonts w:eastAsia="Arial" w:cs="Arial" w:ascii="Arial" w:hAnsi="Arial"/>
          <w:b w:val="false"/>
          <w:bCs w:val="false"/>
          <w:color w:val="auto"/>
          <w:sz w:val="20"/>
          <w:szCs w:val="20"/>
        </w:rPr>
        <w:t xml:space="preserve">do Tribunal de Contas do Estado do Ceará, por maioria dos votos, deu provimento parcial ao recurso, entendendo </w:t>
      </w:r>
      <w:r>
        <w:rPr>
          <w:rFonts w:eastAsia="Arial" w:cs="Arial" w:ascii="Arial" w:hAnsi="Arial"/>
          <w:b w:val="false"/>
          <w:bCs w:val="false"/>
          <w:color w:val="auto"/>
          <w:sz w:val="20"/>
          <w:szCs w:val="20"/>
        </w:rPr>
        <w:t xml:space="preserve">que a apresentação de documentos exclusivamente em sede recursal não afasta a penalidade pelo descumprimento injustificado de diligência no prazo assinalado, por tratar-se de infração autônoma aos deveres constitucionais de prestar contas e colaborar com a instrução do controle externo (arts. 70, parágrafo único, e 71 da Constituição Federal). </w:t>
      </w:r>
    </w:p>
    <w:p>
      <w:pPr>
        <w:pStyle w:val="BodyText"/>
        <w:spacing w:lineRule="auto" w:line="240" w:before="0" w:after="0"/>
        <w:jc w:val="both"/>
        <w:rPr>
          <w:rFonts w:ascii="Arial" w:hAnsi="Arial" w:eastAsia="Arial" w:cs="Arial"/>
          <w:b w:val="false"/>
          <w:bCs w:val="false"/>
          <w:color w:val="auto"/>
          <w:sz w:val="18"/>
          <w:szCs w:val="18"/>
        </w:rPr>
      </w:pPr>
      <w:r>
        <w:rPr>
          <w:rFonts w:eastAsia="Arial" w:cs="Arial" w:ascii="Arial" w:hAnsi="Arial"/>
          <w:b w:val="false"/>
          <w:bCs w:val="false"/>
          <w:color w:val="auto"/>
          <w:sz w:val="18"/>
          <w:szCs w:val="18"/>
        </w:rPr>
      </w:r>
    </w:p>
    <w:p>
      <w:pPr>
        <w:pStyle w:val="Normal"/>
        <w:spacing w:lineRule="auto" w:line="240" w:before="0" w:after="0"/>
        <w:jc w:val="both"/>
        <w:rPr/>
      </w:pPr>
      <w:hyperlink r:id="rId15">
        <w:r>
          <w:rPr>
            <w:rStyle w:val="Hyperlink"/>
            <w:rFonts w:eastAsia="Calibri" w:cs="Calibri" w:ascii="Arial" w:hAnsi="Arial"/>
            <w:color w:val="auto"/>
            <w:kern w:val="0"/>
            <w:sz w:val="18"/>
            <w:szCs w:val="18"/>
            <w:u w:val="single"/>
            <w:lang w:val="pt-BR" w:eastAsia="pt-BR" w:bidi="ar-SA"/>
          </w:rPr>
          <w:t xml:space="preserve">Processo n.º </w:t>
        </w:r>
        <w:r>
          <w:rPr>
            <w:rStyle w:val="Hyperlink"/>
            <w:rFonts w:eastAsia="Calibri" w:cs="Calibri" w:ascii="Arial" w:hAnsi="Arial"/>
            <w:color w:val="auto"/>
            <w:kern w:val="0"/>
            <w:sz w:val="18"/>
            <w:szCs w:val="18"/>
            <w:u w:val="single"/>
            <w:lang w:val="pt-BR" w:eastAsia="pt-BR" w:bidi="ar-SA"/>
          </w:rPr>
          <w:t>00487/2026-0</w:t>
        </w:r>
      </w:hyperlink>
      <w:r>
        <w:rPr>
          <w:rFonts w:eastAsia="Calibri" w:cs="Calibri" w:ascii="Arial" w:hAnsi="Arial"/>
          <w:color w:val="auto"/>
          <w:kern w:val="0"/>
          <w:sz w:val="18"/>
          <w:szCs w:val="18"/>
          <w:u w:val="single"/>
          <w:lang w:val="pt-BR" w:eastAsia="pt-BR" w:bidi="ar-SA"/>
        </w:rPr>
        <w:t>.</w:t>
      </w:r>
      <w:r>
        <w:rPr>
          <w:rFonts w:eastAsia="Calibri" w:cs="Calibri" w:ascii="Arial" w:hAnsi="Arial"/>
          <w:color w:val="auto"/>
          <w:kern w:val="0"/>
          <w:sz w:val="18"/>
          <w:szCs w:val="18"/>
          <w:u w:val="none"/>
          <w:lang w:val="pt-BR" w:eastAsia="pt-BR" w:bidi="ar-SA"/>
        </w:rPr>
        <w:t xml:space="preserve">   </w:t>
      </w:r>
      <w:r>
        <w:rPr>
          <w:rFonts w:eastAsia="Arial" w:cs="Arial" w:ascii="Arial" w:hAnsi="Arial"/>
          <w:color w:val="auto"/>
          <w:sz w:val="18"/>
          <w:szCs w:val="18"/>
        </w:rPr>
        <w:t xml:space="preserve">Relator(a): </w:t>
      </w:r>
      <w:r>
        <w:rPr>
          <w:rFonts w:eastAsia="Arial" w:cs="Arial" w:ascii="Arial" w:hAnsi="Arial"/>
          <w:color w:val="000000"/>
          <w:sz w:val="18"/>
          <w:szCs w:val="18"/>
          <w:shd w:fill="FFFFFF" w:val="clear"/>
        </w:rPr>
        <w:t xml:space="preserve">Cons. </w:t>
      </w:r>
      <w:r>
        <w:rPr>
          <w:rFonts w:eastAsia="Arial" w:cs="Arial" w:ascii="Arial" w:hAnsi="Arial"/>
          <w:b w:val="false"/>
          <w:bCs w:val="false"/>
          <w:color w:val="000000"/>
          <w:sz w:val="18"/>
          <w:szCs w:val="18"/>
          <w:shd w:fill="FFFFFF" w:val="clear"/>
        </w:rPr>
        <w:t>Ernesto Saboia</w:t>
      </w:r>
      <w:r>
        <w:rPr>
          <w:rFonts w:eastAsia="Arial" w:cs="Arial" w:ascii="Arial" w:hAnsi="Arial"/>
          <w:color w:val="auto"/>
          <w:sz w:val="18"/>
          <w:szCs w:val="18"/>
        </w:rPr>
        <w:t xml:space="preserve">.  Sessão: Pleno de </w:t>
      </w:r>
      <w:r>
        <w:rPr>
          <w:rFonts w:eastAsia="Arial" w:cs="Arial" w:ascii="Arial" w:hAnsi="Arial"/>
          <w:color w:val="auto"/>
          <w:sz w:val="18"/>
          <w:szCs w:val="18"/>
        </w:rPr>
        <w:t>06/07</w:t>
      </w:r>
      <w:r>
        <w:rPr>
          <w:rFonts w:eastAsia="Arial" w:cs="Arial" w:ascii="Arial" w:hAnsi="Arial"/>
          <w:color w:val="auto"/>
          <w:sz w:val="18"/>
          <w:szCs w:val="18"/>
        </w:rPr>
        <w:t xml:space="preserve">/2026.    </w:t>
      </w:r>
      <w:r>
        <w:rPr>
          <w:rFonts w:eastAsia="Arial" w:cs="Arial" w:ascii="Arial" w:hAnsi="Arial"/>
          <w:color w:val="000000"/>
          <w:sz w:val="18"/>
          <w:szCs w:val="18"/>
          <w:shd w:fill="FFFFFF" w:val="clear"/>
        </w:rPr>
        <w:t xml:space="preserve">Ata n.º </w:t>
      </w:r>
      <w:r>
        <w:rPr>
          <w:rFonts w:eastAsia="Arial" w:cs="Arial" w:ascii="Arial" w:hAnsi="Arial"/>
          <w:color w:val="000000"/>
          <w:sz w:val="18"/>
          <w:szCs w:val="18"/>
          <w:shd w:fill="FFFFFF" w:val="clear"/>
        </w:rPr>
        <w:t>274</w:t>
      </w:r>
      <w:r>
        <w:rPr>
          <w:rFonts w:eastAsia="Arial" w:cs="Arial" w:ascii="Arial" w:hAnsi="Arial"/>
          <w:color w:val="000000"/>
          <w:sz w:val="18"/>
          <w:szCs w:val="18"/>
          <w:shd w:fill="FFFFFF" w:val="clear"/>
        </w:rPr>
        <w:t xml:space="preserve">/2026.    DO: </w:t>
      </w:r>
      <w:r>
        <w:rPr>
          <w:rFonts w:eastAsia="Arial" w:cs="Arial" w:ascii="Arial" w:hAnsi="Arial"/>
          <w:color w:val="000000"/>
          <w:sz w:val="18"/>
          <w:szCs w:val="18"/>
          <w:shd w:fill="FFFFFF" w:val="clear"/>
        </w:rPr>
        <w:t>28</w:t>
      </w:r>
      <w:r>
        <w:rPr>
          <w:rFonts w:eastAsia="Arial" w:cs="Arial" w:ascii="Arial" w:hAnsi="Arial"/>
          <w:color w:val="000000"/>
          <w:sz w:val="18"/>
          <w:szCs w:val="18"/>
          <w:shd w:fill="FFFFFF" w:val="clear"/>
        </w:rPr>
        <w:t>/0</w:t>
      </w:r>
      <w:r>
        <w:rPr>
          <w:rFonts w:eastAsia="Arial" w:cs="Arial" w:ascii="Arial" w:hAnsi="Arial"/>
          <w:color w:val="000000"/>
          <w:sz w:val="18"/>
          <w:szCs w:val="18"/>
          <w:shd w:fill="FFFFFF" w:val="clear"/>
        </w:rPr>
        <w:t>7</w:t>
      </w:r>
      <w:r>
        <w:rPr>
          <w:rFonts w:eastAsia="Arial" w:cs="Arial" w:ascii="Arial" w:hAnsi="Arial"/>
          <w:color w:val="000000"/>
          <w:sz w:val="18"/>
          <w:szCs w:val="18"/>
          <w:shd w:fill="FFFFFF" w:val="clear"/>
        </w:rPr>
        <w:t>/2026.</w:t>
      </w:r>
    </w:p>
    <w:p>
      <w:pPr>
        <w:pStyle w:val="Normal"/>
        <w:spacing w:lineRule="auto" w:line="240" w:before="0" w:after="0"/>
        <w:jc w:val="both"/>
        <w:rPr>
          <w:rFonts w:ascii="Arial" w:hAnsi="Arial" w:eastAsia="Arial" w:cs="Arial"/>
          <w:color w:val="C9211E"/>
          <w:sz w:val="18"/>
          <w:szCs w:val="18"/>
          <w:shd w:fill="FFFFFF" w:val="clear"/>
        </w:rPr>
      </w:pPr>
      <w:r>
        <w:rPr>
          <w:rFonts w:eastAsia="Arial" w:cs="Arial" w:ascii="Arial" w:hAnsi="Arial"/>
          <w:color w:val="C9211E"/>
          <w:sz w:val="18"/>
          <w:szCs w:val="18"/>
          <w:shd w:fill="FFFFFF" w:val="clear"/>
        </w:rPr>
      </w:r>
    </w:p>
    <w:p>
      <w:pPr>
        <w:pStyle w:val="Normal"/>
        <w:spacing w:lineRule="auto" w:line="240" w:before="0" w:after="0"/>
        <w:jc w:val="both"/>
        <w:rPr>
          <w:rFonts w:ascii="Arial" w:hAnsi="Arial" w:eastAsia="Arial" w:cs="Arial"/>
          <w:color w:val="C9211E"/>
          <w:sz w:val="18"/>
          <w:szCs w:val="18"/>
          <w:shd w:fill="FFFFFF" w:val="clear"/>
        </w:rPr>
      </w:pPr>
      <w:r>
        <w:rPr>
          <w:rFonts w:eastAsia="Arial" w:cs="Arial" w:ascii="Arial" w:hAnsi="Arial"/>
          <w:color w:val="C9211E"/>
          <w:sz w:val="18"/>
          <w:szCs w:val="18"/>
          <w:shd w:fill="FFFFFF" w:val="clear"/>
        </w:rPr>
        <w:drawing>
          <wp:anchor behindDoc="1" distT="0" distB="0" distL="0" distR="0" simplePos="0" locked="0" layoutInCell="1" allowOverlap="1" relativeHeight="15">
            <wp:simplePos x="0" y="0"/>
            <wp:positionH relativeFrom="column">
              <wp:posOffset>3810</wp:posOffset>
            </wp:positionH>
            <wp:positionV relativeFrom="paragraph">
              <wp:posOffset>-46355</wp:posOffset>
            </wp:positionV>
            <wp:extent cx="6821805" cy="478155"/>
            <wp:effectExtent l="0" t="0" r="0" b="0"/>
            <wp:wrapNone/>
            <wp:docPr id="9" name="Figura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6" descr="" title=""/>
                    <pic:cNvPicPr>
                      <a:picLocks noChangeAspect="1" noChangeArrowheads="1"/>
                    </pic:cNvPicPr>
                  </pic:nvPicPr>
                  <pic:blipFill>
                    <a:blip r:embed="rId16"/>
                    <a:srcRect l="-6" t="-135" r="-6" b="-135"/>
                    <a:stretch>
                      <a:fillRect/>
                    </a:stretch>
                  </pic:blipFill>
                  <pic:spPr bwMode="auto">
                    <a:xfrm>
                      <a:off x="0" y="0"/>
                      <a:ext cx="6821805" cy="478155"/>
                    </a:xfrm>
                    <a:prstGeom prst="rect">
                      <a:avLst/>
                    </a:prstGeom>
                  </pic:spPr>
                </pic:pic>
              </a:graphicData>
            </a:graphic>
          </wp:anchor>
        </w:drawing>
      </w:r>
    </w:p>
    <w:p>
      <w:pPr>
        <w:pStyle w:val="Normal"/>
        <w:spacing w:lineRule="auto" w:line="240" w:before="0" w:after="0"/>
        <w:jc w:val="center"/>
        <w:rPr>
          <w:rFonts w:ascii="Arial" w:hAnsi="Arial"/>
          <w:color w:val="FFFFFF"/>
          <w:sz w:val="22"/>
          <w:szCs w:val="22"/>
        </w:rPr>
      </w:pPr>
      <w:r>
        <w:rPr>
          <w:rFonts w:eastAsia="Arial" w:cs="Arial" w:ascii="Arial" w:hAnsi="Arial"/>
          <w:b/>
          <w:bCs/>
          <w:color w:val="FFFFFF"/>
          <w:sz w:val="22"/>
          <w:szCs w:val="22"/>
        </w:rPr>
        <w:t xml:space="preserve">ACÓRDÃO Nº </w:t>
      </w:r>
      <w:r>
        <w:rPr>
          <w:rFonts w:eastAsia="Arial" w:cs="Arial" w:ascii="Arial" w:hAnsi="Arial"/>
          <w:b/>
          <w:bCs/>
          <w:color w:val="FFFFFF"/>
          <w:sz w:val="22"/>
          <w:szCs w:val="22"/>
        </w:rPr>
        <w:t>6328</w:t>
      </w:r>
      <w:r>
        <w:rPr>
          <w:rFonts w:eastAsia="Arial" w:cs="Arial" w:ascii="Arial" w:hAnsi="Arial"/>
          <w:b/>
          <w:bCs/>
          <w:color w:val="FFFFFF"/>
          <w:sz w:val="22"/>
          <w:szCs w:val="22"/>
        </w:rPr>
        <w:t>/2026</w:t>
      </w:r>
    </w:p>
    <w:p>
      <w:pPr>
        <w:pStyle w:val="Normal"/>
        <w:spacing w:lineRule="auto" w:line="240" w:before="0" w:after="0"/>
        <w:jc w:val="center"/>
        <w:rPr>
          <w:rFonts w:ascii="Arial" w:hAnsi="Arial" w:eastAsia="Arial" w:cs="Arial"/>
          <w:b/>
          <w:bCs/>
          <w:color w:val="FFFFFF"/>
          <w:sz w:val="18"/>
          <w:szCs w:val="18"/>
        </w:rPr>
      </w:pPr>
      <w:r>
        <w:rPr>
          <w:rFonts w:eastAsia="Arial" w:cs="Arial" w:ascii="Arial" w:hAnsi="Arial"/>
          <w:b/>
          <w:bCs/>
          <w:color w:val="FFFFFF"/>
          <w:sz w:val="18"/>
          <w:szCs w:val="18"/>
        </w:rPr>
      </w:r>
    </w:p>
    <w:p>
      <w:pPr>
        <w:pStyle w:val="Normal"/>
        <w:spacing w:lineRule="auto" w:line="240" w:before="0" w:after="0"/>
        <w:ind w:hanging="0" w:start="0" w:end="0"/>
        <w:jc w:val="both"/>
        <w:rPr>
          <w:rFonts w:ascii="Arial" w:hAnsi="Arial" w:eastAsia="Arial" w:cs="Arial"/>
          <w:b/>
          <w:bCs/>
          <w:color w:val="C9211E"/>
          <w:sz w:val="18"/>
          <w:szCs w:val="18"/>
        </w:rPr>
      </w:pPr>
      <w:r>
        <w:rPr>
          <w:rFonts w:eastAsia="Arial" w:cs="Arial" w:ascii="Arial" w:hAnsi="Arial"/>
          <w:b/>
          <w:bCs/>
          <w:color w:val="C9211E"/>
          <w:sz w:val="18"/>
          <w:szCs w:val="18"/>
        </w:rPr>
      </w:r>
    </w:p>
    <w:p>
      <w:pPr>
        <w:pStyle w:val="Normal"/>
        <w:spacing w:lineRule="auto" w:line="240" w:before="0" w:after="0"/>
        <w:ind w:hanging="0" w:start="0" w:end="0"/>
        <w:jc w:val="both"/>
        <w:rPr>
          <w:rFonts w:ascii="Arial" w:hAnsi="Arial"/>
          <w:b/>
          <w:bCs/>
          <w:color w:val="auto"/>
          <w:sz w:val="24"/>
          <w:szCs w:val="24"/>
        </w:rPr>
      </w:pPr>
      <w:r>
        <w:rPr>
          <w:rFonts w:ascii="Arial" w:hAnsi="Arial"/>
          <w:b/>
          <w:bCs/>
          <w:color w:val="auto"/>
          <w:sz w:val="24"/>
          <w:szCs w:val="24"/>
        </w:rPr>
        <w:t xml:space="preserve">REPRESENTAÇÃO. </w:t>
      </w:r>
      <w:r>
        <w:rPr>
          <w:rFonts w:ascii="Arial" w:hAnsi="Arial"/>
          <w:b/>
          <w:bCs/>
          <w:color w:val="auto"/>
          <w:sz w:val="24"/>
          <w:szCs w:val="24"/>
        </w:rPr>
        <w:t xml:space="preserve">MEDIDA CAUTELAR. </w:t>
      </w:r>
      <w:r>
        <w:rPr>
          <w:rFonts w:ascii="Arial" w:hAnsi="Arial"/>
          <w:b/>
          <w:bCs/>
          <w:color w:val="auto"/>
          <w:sz w:val="24"/>
          <w:szCs w:val="24"/>
        </w:rPr>
        <w:t xml:space="preserve">HOMOLOGAÇÃO. INEXIGIBILIDADE DE LICITAÇÃO. </w:t>
      </w:r>
      <w:r>
        <w:rPr>
          <w:rFonts w:ascii="Arial" w:hAnsi="Arial"/>
          <w:b/>
          <w:bCs/>
          <w:color w:val="auto"/>
          <w:sz w:val="24"/>
          <w:szCs w:val="24"/>
        </w:rPr>
        <w:t xml:space="preserve">CONTRATAÇÃO DIRETA. </w:t>
      </w:r>
      <w:r>
        <w:rPr>
          <w:rFonts w:eastAsia="Arial" w:cs="Arial" w:ascii="Arial" w:hAnsi="Arial"/>
          <w:b/>
          <w:bCs/>
          <w:color w:val="auto"/>
          <w:sz w:val="24"/>
          <w:szCs w:val="24"/>
        </w:rPr>
        <w:t xml:space="preserve">SERVIÇOS ADVOCATÍCIOS. JUSTIFICATIVA DE PREÇO. </w:t>
      </w:r>
    </w:p>
    <w:p>
      <w:pPr>
        <w:pStyle w:val="Normal"/>
        <w:spacing w:lineRule="auto" w:line="240" w:before="0" w:after="0"/>
        <w:ind w:hanging="0" w:start="0" w:end="0"/>
        <w:jc w:val="both"/>
        <w:rPr>
          <w:rFonts w:ascii="Arial" w:hAnsi="Arial"/>
          <w:b/>
          <w:bCs/>
          <w:color w:val="auto"/>
          <w:sz w:val="18"/>
          <w:szCs w:val="18"/>
        </w:rPr>
      </w:pPr>
      <w:r>
        <w:rPr>
          <w:rFonts w:ascii="Arial" w:hAnsi="Arial"/>
          <w:b/>
          <w:bCs/>
          <w:color w:val="auto"/>
          <w:sz w:val="18"/>
          <w:szCs w:val="18"/>
        </w:rPr>
      </w:r>
    </w:p>
    <w:p>
      <w:pPr>
        <w:pStyle w:val="BodyText"/>
        <w:spacing w:lineRule="auto" w:line="240" w:before="0" w:after="0"/>
        <w:jc w:val="both"/>
        <w:rPr>
          <w:rFonts w:ascii="Arial" w:hAnsi="Arial"/>
          <w:color w:val="auto"/>
          <w:sz w:val="20"/>
          <w:szCs w:val="20"/>
        </w:rPr>
      </w:pPr>
      <w:r>
        <w:rPr>
          <w:rFonts w:eastAsia="Arial" w:cs="Arial" w:ascii="Arial" w:hAnsi="Arial"/>
          <w:b w:val="false"/>
          <w:bCs w:val="false"/>
          <w:color w:val="auto"/>
          <w:sz w:val="20"/>
          <w:szCs w:val="20"/>
        </w:rPr>
        <w:t xml:space="preserve">Representação, com pedido de medida cautelar, </w:t>
      </w:r>
      <w:r>
        <w:rPr>
          <w:rFonts w:eastAsia="Arial" w:cs="Arial" w:ascii="Arial" w:hAnsi="Arial"/>
          <w:b w:val="false"/>
          <w:bCs w:val="false"/>
          <w:color w:val="auto"/>
          <w:sz w:val="20"/>
          <w:szCs w:val="20"/>
        </w:rPr>
        <w:t>acerca de possíveis</w:t>
      </w:r>
      <w:r>
        <w:rPr>
          <w:rFonts w:eastAsia="Arial" w:cs="Arial" w:ascii="Arial" w:hAnsi="Arial"/>
          <w:b w:val="false"/>
          <w:bCs w:val="false"/>
          <w:color w:val="auto"/>
          <w:sz w:val="20"/>
          <w:szCs w:val="20"/>
        </w:rPr>
        <w:t xml:space="preserve"> irregularidades em processo de inexigibilidade destinado à contratação de serviços advocatícios para recuperação de créditos públicos relacionados a diferenças de repasses do Sistema Único de Saúde. A instrução revelou indícios de deficiência na formação do processo de contratação direta, especialmente pela ausência de elementos objetivos para estimar a despesa, insuficiência da justificativa de preço e falta de demonstração concreta da inviabilidade de competição e da inadequação da estrutura jurídica da própria Administração para executar o objeto. O Tribunal destacou que a notória especialização, embora relevante, não autoriza, isoladamente, a inexigibilidade, devendo ser demonstrados, no caso concreto, os pressupostos previstos nos arts. 72 e 74 da Lei nº 14.133/2021. Também se considerou inadequada a utilização de percentual de êxito como parâmetro remuneratório sem comprovação de compatibilidade com valores praticados em contratações similares. Nesse ponto, foram considerados os entendimentos do Supremo Tribunal Federal, no Tema 309, e do Tribunal de Contas da União, especialmente os Acórdãos nº 889/2020-Plenário e nº 1.285/2018-Plenário, quanto às cautelas exigidas em contratos administrativos com remuneração vinculada ao êxito. A Corte ressaltou, ainda, que a controvérsia judicial sobre a existência e exigibilidade dos créditos pretendidos, submetida ao Superior Tribunal de Justiça, exigia planejamento administrativo mais consistente e demonstração concreta da plausibilidade dos créditos. Embora a Lei nº 14.133/2021 admita remuneração variável por desempenho, o Tribunal concluiu que essa previsão não autoriza automaticamente a adoção de cláusula de êxito, especialmente sem metas e critérios objetivos previamente definidos. </w:t>
      </w:r>
      <w:r>
        <w:rPr>
          <w:rFonts w:eastAsia="Arial" w:cs="Arial" w:ascii="Arial" w:hAnsi="Arial"/>
          <w:b w:val="false"/>
          <w:bCs w:val="false"/>
          <w:color w:val="auto"/>
          <w:sz w:val="20"/>
          <w:szCs w:val="20"/>
        </w:rPr>
        <w:t>O</w:t>
      </w:r>
      <w:r>
        <w:rPr>
          <w:rFonts w:eastAsia="Arial" w:cs="Arial" w:ascii="Arial" w:hAnsi="Arial"/>
          <w:b w:val="false"/>
          <w:bCs w:val="false"/>
          <w:color w:val="auto"/>
          <w:sz w:val="20"/>
          <w:szCs w:val="20"/>
        </w:rPr>
        <w:t xml:space="preserve"> Pleno </w:t>
      </w:r>
      <w:r>
        <w:rPr>
          <w:rFonts w:eastAsia="Arial" w:cs="Arial" w:ascii="Arial" w:hAnsi="Arial"/>
          <w:b w:val="false"/>
          <w:bCs w:val="false"/>
          <w:color w:val="auto"/>
          <w:sz w:val="20"/>
          <w:szCs w:val="20"/>
        </w:rPr>
        <w:t xml:space="preserve">do Tribunal de Contas do Estado do Ceará, por unanimidade dos votos, </w:t>
      </w:r>
      <w:r>
        <w:rPr>
          <w:rFonts w:eastAsia="Arial" w:cs="Arial" w:ascii="Arial" w:hAnsi="Arial"/>
          <w:b w:val="false"/>
          <w:bCs w:val="false"/>
          <w:color w:val="auto"/>
          <w:sz w:val="20"/>
          <w:szCs w:val="20"/>
        </w:rPr>
        <w:t xml:space="preserve">homologou a medida cautelar, determinando a suspensão dos efeitos financeiros do contrato, a abstenção de pagamentos e de eventual prorrogação </w:t>
      </w:r>
      <w:r>
        <w:rPr>
          <w:rFonts w:eastAsia="Arial" w:cs="Arial" w:ascii="Arial" w:hAnsi="Arial"/>
          <w:b w:val="false"/>
          <w:bCs w:val="false"/>
          <w:color w:val="auto"/>
          <w:sz w:val="20"/>
          <w:szCs w:val="20"/>
        </w:rPr>
        <w:t xml:space="preserve">contratual, com fundamento no art. 21-A da LOTCE e art. 41, inc. III, e 42 do RITCE. </w:t>
      </w:r>
    </w:p>
    <w:p>
      <w:pPr>
        <w:pStyle w:val="BodyText"/>
        <w:spacing w:lineRule="auto" w:line="240" w:before="0" w:after="0"/>
        <w:jc w:val="both"/>
        <w:rPr>
          <w:rFonts w:ascii="Arial" w:hAnsi="Arial" w:eastAsia="Arial" w:cs="Arial"/>
          <w:b w:val="false"/>
          <w:bCs w:val="false"/>
          <w:color w:val="auto"/>
          <w:sz w:val="18"/>
          <w:szCs w:val="18"/>
        </w:rPr>
      </w:pPr>
      <w:r>
        <w:rPr>
          <w:rFonts w:eastAsia="Arial" w:cs="Arial" w:ascii="Arial" w:hAnsi="Arial"/>
          <w:b w:val="false"/>
          <w:bCs w:val="false"/>
          <w:color w:val="auto"/>
          <w:sz w:val="18"/>
          <w:szCs w:val="18"/>
        </w:rPr>
      </w:r>
    </w:p>
    <w:p>
      <w:pPr>
        <w:pStyle w:val="BodyText"/>
        <w:spacing w:lineRule="auto" w:line="240" w:before="0" w:after="0"/>
        <w:jc w:val="both"/>
        <w:rPr/>
      </w:pPr>
      <w:hyperlink r:id="rId17">
        <w:r>
          <w:rPr>
            <w:rStyle w:val="Hyperlink"/>
            <w:rFonts w:ascii="Arial" w:hAnsi="Arial"/>
            <w:color w:val="auto"/>
            <w:sz w:val="18"/>
            <w:szCs w:val="18"/>
          </w:rPr>
          <w:t>Processo n.º 15500/2026-8.</w:t>
        </w:r>
      </w:hyperlink>
      <w:r>
        <w:rPr>
          <w:rFonts w:eastAsia="Arial" w:cs="Arial" w:ascii="Arial" w:hAnsi="Arial"/>
          <w:color w:val="000000"/>
          <w:sz w:val="18"/>
          <w:szCs w:val="18"/>
          <w:shd w:fill="FFFFFF" w:val="clear"/>
        </w:rPr>
        <w:t xml:space="preserve">   </w:t>
      </w:r>
      <w:r>
        <w:rPr>
          <w:rFonts w:eastAsia="Arial" w:cs="Arial" w:ascii="Arial" w:hAnsi="Arial"/>
          <w:color w:val="auto"/>
          <w:sz w:val="18"/>
          <w:szCs w:val="18"/>
        </w:rPr>
        <w:t xml:space="preserve">Relator(a): </w:t>
      </w:r>
      <w:r>
        <w:rPr>
          <w:rFonts w:eastAsia="Arial" w:cs="Arial" w:ascii="Arial" w:hAnsi="Arial"/>
          <w:color w:val="000000"/>
          <w:sz w:val="18"/>
          <w:szCs w:val="18"/>
          <w:shd w:fill="FFFFFF" w:val="clear"/>
        </w:rPr>
        <w:t>Cons. Valdomiro Távora</w:t>
      </w:r>
      <w:r>
        <w:rPr>
          <w:rFonts w:eastAsia="Arial" w:cs="Arial" w:ascii="Arial" w:hAnsi="Arial"/>
          <w:color w:val="auto"/>
          <w:sz w:val="18"/>
          <w:szCs w:val="18"/>
        </w:rPr>
        <w:t xml:space="preserve">.  Sessão: Pleno de </w:t>
      </w:r>
      <w:r>
        <w:rPr>
          <w:rFonts w:eastAsia="Arial" w:cs="Arial" w:ascii="Arial" w:hAnsi="Arial"/>
          <w:color w:val="auto"/>
          <w:sz w:val="18"/>
          <w:szCs w:val="18"/>
        </w:rPr>
        <w:t>27/07</w:t>
      </w:r>
      <w:r>
        <w:rPr>
          <w:rFonts w:eastAsia="Arial" w:cs="Arial" w:ascii="Arial" w:hAnsi="Arial"/>
          <w:color w:val="auto"/>
          <w:sz w:val="18"/>
          <w:szCs w:val="18"/>
        </w:rPr>
        <w:t xml:space="preserve">/2026.  Ata n.º </w:t>
      </w:r>
      <w:r>
        <w:rPr>
          <w:rFonts w:eastAsia="Arial" w:cs="Arial" w:ascii="Arial" w:hAnsi="Arial"/>
          <w:color w:val="000000"/>
          <w:sz w:val="18"/>
          <w:szCs w:val="18"/>
          <w:shd w:fill="FFFFFF" w:val="clear"/>
        </w:rPr>
        <w:t>27</w:t>
      </w:r>
      <w:r>
        <w:rPr>
          <w:rFonts w:eastAsia="Arial" w:cs="Arial" w:ascii="Arial" w:hAnsi="Arial"/>
          <w:color w:val="000000"/>
          <w:sz w:val="18"/>
          <w:szCs w:val="18"/>
          <w:shd w:fill="FFFFFF" w:val="clear"/>
        </w:rPr>
        <w:t>6</w:t>
      </w:r>
      <w:r>
        <w:rPr>
          <w:rFonts w:eastAsia="Arial" w:cs="Arial" w:ascii="Arial" w:hAnsi="Arial"/>
          <w:color w:val="000000"/>
          <w:sz w:val="18"/>
          <w:szCs w:val="18"/>
          <w:shd w:fill="FFFFFF" w:val="clear"/>
        </w:rPr>
        <w:t>/2026.  DO: 2</w:t>
      </w:r>
      <w:r>
        <w:rPr>
          <w:rFonts w:eastAsia="Arial" w:cs="Arial" w:ascii="Arial" w:hAnsi="Arial"/>
          <w:color w:val="000000"/>
          <w:sz w:val="18"/>
          <w:szCs w:val="18"/>
          <w:shd w:fill="FFFFFF" w:val="clear"/>
        </w:rPr>
        <w:t>5</w:t>
      </w:r>
      <w:r>
        <w:rPr>
          <w:rFonts w:eastAsia="Arial" w:cs="Arial" w:ascii="Arial" w:hAnsi="Arial"/>
          <w:color w:val="000000"/>
          <w:sz w:val="18"/>
          <w:szCs w:val="18"/>
          <w:shd w:fill="FFFFFF" w:val="clear"/>
        </w:rPr>
        <w:t>/0</w:t>
      </w:r>
      <w:r>
        <w:rPr>
          <w:rFonts w:eastAsia="Arial" w:cs="Arial" w:ascii="Arial" w:hAnsi="Arial"/>
          <w:color w:val="000000"/>
          <w:sz w:val="18"/>
          <w:szCs w:val="18"/>
          <w:shd w:fill="FFFFFF" w:val="clear"/>
        </w:rPr>
        <w:t>8</w:t>
      </w:r>
      <w:r>
        <w:rPr>
          <w:rFonts w:eastAsia="Arial" w:cs="Arial" w:ascii="Arial" w:hAnsi="Arial"/>
          <w:color w:val="000000"/>
          <w:sz w:val="18"/>
          <w:szCs w:val="18"/>
          <w:shd w:fill="FFFFFF" w:val="clear"/>
        </w:rPr>
        <w:t>/2026.</w:t>
      </w:r>
    </w:p>
    <w:p>
      <w:pPr>
        <w:pStyle w:val="BodyText"/>
        <w:spacing w:lineRule="auto" w:line="240" w:before="0" w:after="0"/>
        <w:jc w:val="both"/>
        <w:rPr>
          <w:rFonts w:ascii="Arial" w:hAnsi="Arial" w:eastAsia="Arial" w:cs="Arial"/>
          <w:color w:val="C9211E"/>
          <w:sz w:val="18"/>
          <w:szCs w:val="18"/>
          <w:shd w:fill="FFFFFF" w:val="clear"/>
        </w:rPr>
      </w:pPr>
      <w:r>
        <w:rPr>
          <w:rFonts w:eastAsia="Arial" w:cs="Arial" w:ascii="Arial" w:hAnsi="Arial"/>
          <w:color w:val="C9211E"/>
          <w:sz w:val="18"/>
          <w:szCs w:val="18"/>
          <w:shd w:fill="FFFFFF" w:val="clear"/>
        </w:rPr>
        <w:drawing>
          <wp:anchor behindDoc="1" distT="0" distB="0" distL="0" distR="0" simplePos="0" locked="0" layoutInCell="1" allowOverlap="1" relativeHeight="16">
            <wp:simplePos x="0" y="0"/>
            <wp:positionH relativeFrom="column">
              <wp:posOffset>-4445</wp:posOffset>
            </wp:positionH>
            <wp:positionV relativeFrom="paragraph">
              <wp:posOffset>112395</wp:posOffset>
            </wp:positionV>
            <wp:extent cx="6798310" cy="478155"/>
            <wp:effectExtent l="0" t="0" r="0" b="0"/>
            <wp:wrapNone/>
            <wp:docPr id="10" name="Figura7 Copia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7 Copia 3" descr="" title=""/>
                    <pic:cNvPicPr>
                      <a:picLocks noChangeAspect="1" noChangeArrowheads="1"/>
                    </pic:cNvPicPr>
                  </pic:nvPicPr>
                  <pic:blipFill>
                    <a:blip r:embed="rId18"/>
                    <a:srcRect l="-6" t="-135" r="-6" b="-135"/>
                    <a:stretch>
                      <a:fillRect/>
                    </a:stretch>
                  </pic:blipFill>
                  <pic:spPr bwMode="auto">
                    <a:xfrm>
                      <a:off x="0" y="0"/>
                      <a:ext cx="6798310" cy="478155"/>
                    </a:xfrm>
                    <a:prstGeom prst="rect">
                      <a:avLst/>
                    </a:prstGeom>
                  </pic:spPr>
                </pic:pic>
              </a:graphicData>
            </a:graphic>
          </wp:anchor>
        </w:drawing>
      </w:r>
    </w:p>
    <w:p>
      <w:pPr>
        <w:pStyle w:val="Normal"/>
        <w:spacing w:lineRule="auto" w:line="240" w:before="0" w:after="0"/>
        <w:jc w:val="both"/>
        <w:rPr>
          <w:rFonts w:ascii="Arial" w:hAnsi="Arial" w:eastAsia="Arial" w:cs="Arial"/>
          <w:color w:val="C9211E"/>
          <w:sz w:val="18"/>
          <w:szCs w:val="18"/>
          <w:shd w:fill="FFFFFF" w:val="clear"/>
        </w:rPr>
      </w:pPr>
      <w:r>
        <w:rPr>
          <w:rFonts w:eastAsia="Arial" w:cs="Arial" w:ascii="Arial" w:hAnsi="Arial"/>
          <w:color w:val="C9211E"/>
          <w:sz w:val="18"/>
          <w:szCs w:val="18"/>
          <w:shd w:fill="FFFFFF" w:val="clear"/>
        </w:rPr>
      </w:r>
    </w:p>
    <w:p>
      <w:pPr>
        <w:pStyle w:val="Heading2"/>
        <w:spacing w:lineRule="auto" w:line="240" w:before="0" w:after="0"/>
        <w:ind w:hanging="0" w:start="0" w:end="0"/>
        <w:jc w:val="center"/>
        <w:rPr>
          <w:rFonts w:ascii="Arial" w:hAnsi="Arial" w:eastAsia="Arial" w:cs="Arial"/>
          <w:b/>
          <w:bCs/>
          <w:color w:val="FFFFFF"/>
          <w:sz w:val="22"/>
          <w:szCs w:val="22"/>
          <w:shd w:fill="auto" w:val="clear"/>
        </w:rPr>
      </w:pPr>
      <w:r>
        <w:rPr>
          <w:rFonts w:eastAsia="Arial" w:cs="Arial" w:ascii="Arial" w:hAnsi="Arial"/>
          <w:b/>
          <w:bCs/>
          <w:color w:val="FFFFFF"/>
          <w:sz w:val="22"/>
          <w:szCs w:val="22"/>
          <w:shd w:fill="auto" w:val="clear"/>
        </w:rPr>
        <w:t>ACÓRDÃO Nº 6002/2026</w:t>
      </w:r>
    </w:p>
    <w:p>
      <w:pPr>
        <w:pStyle w:val="Normal"/>
        <w:spacing w:lineRule="auto" w:line="240" w:before="0" w:after="0"/>
        <w:ind w:hanging="0" w:start="0" w:end="0"/>
        <w:jc w:val="center"/>
        <w:rPr>
          <w:rFonts w:ascii="Arial" w:hAnsi="Arial" w:eastAsia="Arial" w:cs="Arial"/>
          <w:b/>
          <w:bCs/>
          <w:color w:val="FFFFFF"/>
          <w:sz w:val="18"/>
          <w:szCs w:val="18"/>
          <w:shd w:fill="auto" w:val="clear"/>
        </w:rPr>
      </w:pPr>
      <w:r>
        <w:rPr>
          <w:rFonts w:eastAsia="Arial" w:cs="Arial" w:ascii="Arial" w:hAnsi="Arial"/>
          <w:b/>
          <w:bCs/>
          <w:color w:val="FFFFFF"/>
          <w:sz w:val="18"/>
          <w:szCs w:val="18"/>
          <w:shd w:fill="auto" w:val="clear"/>
        </w:rPr>
      </w:r>
    </w:p>
    <w:p>
      <w:pPr>
        <w:pStyle w:val="Heading2"/>
        <w:spacing w:lineRule="auto" w:line="240" w:before="0" w:after="0"/>
        <w:ind w:hanging="0" w:start="0" w:end="0"/>
        <w:jc w:val="center"/>
        <w:rPr>
          <w:rFonts w:ascii="Arial" w:hAnsi="Arial" w:eastAsia="Arial" w:cs="Arial"/>
          <w:b/>
          <w:bCs/>
          <w:color w:val="auto"/>
          <w:sz w:val="18"/>
          <w:szCs w:val="18"/>
          <w:shd w:fill="auto" w:val="clear"/>
        </w:rPr>
      </w:pPr>
      <w:r>
        <w:rPr>
          <w:rFonts w:eastAsia="Arial" w:cs="Arial" w:ascii="Arial" w:hAnsi="Arial"/>
          <w:b/>
          <w:bCs/>
          <w:color w:val="000000"/>
          <w:sz w:val="18"/>
          <w:szCs w:val="18"/>
          <w:shd w:fill="auto" w:val="clear"/>
        </w:rPr>
      </w:r>
    </w:p>
    <w:p>
      <w:pPr>
        <w:pStyle w:val="Heading2"/>
        <w:spacing w:lineRule="auto" w:line="240" w:before="0" w:after="0"/>
        <w:ind w:hanging="0" w:start="0" w:end="0"/>
        <w:jc w:val="both"/>
        <w:rPr>
          <w:rFonts w:ascii="Arial" w:hAnsi="Arial" w:eastAsia="Arial" w:cs="Arial"/>
          <w:color w:val="FFFFFF"/>
          <w:sz w:val="24"/>
          <w:szCs w:val="24"/>
        </w:rPr>
      </w:pPr>
      <w:r>
        <w:rPr>
          <w:rFonts w:eastAsia="Arial" w:cs="Arial" w:ascii="Arial" w:hAnsi="Arial"/>
          <w:b/>
          <w:bCs/>
          <w:color w:val="auto"/>
          <w:sz w:val="24"/>
          <w:szCs w:val="24"/>
        </w:rPr>
        <w:t xml:space="preserve">REPRESENTAÇÃO. CONCORRÊNCIA </w:t>
      </w:r>
      <w:r>
        <w:rPr>
          <w:rFonts w:eastAsia="Arial" w:cs="Arial" w:ascii="Arial" w:hAnsi="Arial"/>
          <w:b/>
          <w:bCs/>
          <w:color w:val="auto"/>
          <w:sz w:val="24"/>
          <w:szCs w:val="24"/>
        </w:rPr>
        <w:tab/>
        <w:t xml:space="preserve">PÚBLICA </w:t>
      </w:r>
      <w:r>
        <w:rPr>
          <w:rFonts w:eastAsia="Arial" w:cs="Arial" w:ascii="Arial" w:hAnsi="Arial"/>
          <w:b/>
          <w:bCs/>
          <w:color w:val="auto"/>
          <w:sz w:val="24"/>
          <w:szCs w:val="24"/>
        </w:rPr>
        <w:t xml:space="preserve">ELETRÔNICA. </w:t>
      </w:r>
      <w:r>
        <w:rPr>
          <w:rFonts w:eastAsia="Arial" w:cs="Arial" w:ascii="Arial" w:hAnsi="Arial"/>
          <w:b/>
          <w:bCs/>
          <w:color w:val="auto"/>
          <w:sz w:val="24"/>
          <w:szCs w:val="24"/>
        </w:rPr>
        <w:t>CONSÓRCIO.</w:t>
      </w:r>
      <w:r>
        <w:rPr>
          <w:rFonts w:eastAsia="Arial" w:cs="Arial" w:ascii="Arial" w:hAnsi="Arial"/>
          <w:b/>
          <w:bCs/>
          <w:color w:val="auto"/>
          <w:sz w:val="24"/>
          <w:szCs w:val="24"/>
        </w:rPr>
        <w:t xml:space="preserve"> </w:t>
      </w:r>
      <w:r>
        <w:rPr>
          <w:rFonts w:eastAsia="Arial" w:cs="Arial" w:ascii="Arial" w:hAnsi="Arial"/>
          <w:b/>
          <w:bCs/>
          <w:color w:val="auto"/>
          <w:sz w:val="24"/>
          <w:szCs w:val="24"/>
        </w:rPr>
        <w:t xml:space="preserve">PROIBIÇÃO PARTICIPAÇÃO DE </w:t>
      </w:r>
      <w:r>
        <w:rPr>
          <w:rFonts w:eastAsia="Arial" w:cs="Arial" w:ascii="Arial" w:hAnsi="Arial"/>
          <w:b/>
          <w:bCs/>
          <w:color w:val="auto"/>
          <w:sz w:val="24"/>
          <w:szCs w:val="24"/>
        </w:rPr>
        <w:t xml:space="preserve">PESSOA JURÍDICA. </w:t>
      </w:r>
      <w:r>
        <w:rPr>
          <w:rFonts w:eastAsia="Arial" w:cs="Arial" w:ascii="Arial" w:hAnsi="Arial"/>
          <w:b/>
          <w:bCs/>
          <w:color w:val="auto"/>
          <w:sz w:val="24"/>
          <w:szCs w:val="24"/>
        </w:rPr>
        <w:t xml:space="preserve">PRINCÍPIO DA COMPETITIVIDADE. PRINCÍPIO DA MOTIVAÇÃO. PRINCÍPIO DA ISONOMIA. </w:t>
      </w:r>
      <w:r>
        <w:rPr>
          <w:rFonts w:eastAsia="Arial" w:cs="Arial" w:ascii="Arial" w:hAnsi="Arial"/>
          <w:b/>
          <w:bCs/>
          <w:color w:val="auto"/>
          <w:sz w:val="24"/>
          <w:szCs w:val="24"/>
        </w:rPr>
        <w:t xml:space="preserve">AGENTE DE CONTRATAÇÃO. PRINCÍPIO DA SEGREGAÇÃO </w:t>
      </w:r>
      <w:r>
        <w:rPr>
          <w:rFonts w:eastAsia="Arial" w:cs="Arial" w:ascii="Arial" w:hAnsi="Arial"/>
          <w:b/>
          <w:bCs/>
          <w:color w:val="auto"/>
          <w:sz w:val="24"/>
          <w:szCs w:val="24"/>
        </w:rPr>
        <w:t>DE FUNÇÕES.</w:t>
      </w:r>
    </w:p>
    <w:p>
      <w:pPr>
        <w:pStyle w:val="BodyText"/>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BodyText"/>
        <w:spacing w:lineRule="auto" w:line="240" w:before="0" w:after="0"/>
        <w:jc w:val="both"/>
        <w:rPr>
          <w:rFonts w:ascii="Arial" w:hAnsi="Arial" w:eastAsia="Arial" w:cs="Arial"/>
          <w:color w:val="auto"/>
          <w:sz w:val="20"/>
          <w:szCs w:val="20"/>
        </w:rPr>
      </w:pPr>
      <w:r>
        <w:rPr>
          <w:rFonts w:eastAsia="Arial" w:cs="Arial" w:ascii="Arial" w:hAnsi="Arial"/>
          <w:color w:val="auto"/>
          <w:sz w:val="20"/>
          <w:szCs w:val="20"/>
        </w:rPr>
        <w:t xml:space="preserve">Representação formulada em face de </w:t>
      </w:r>
      <w:r>
        <w:rPr>
          <w:rFonts w:eastAsia="Arial" w:cs="Arial" w:ascii="Arial" w:hAnsi="Arial"/>
          <w:color w:val="auto"/>
          <w:sz w:val="20"/>
          <w:szCs w:val="20"/>
        </w:rPr>
        <w:t>C</w:t>
      </w:r>
      <w:r>
        <w:rPr>
          <w:rFonts w:eastAsia="Arial" w:cs="Arial" w:ascii="Arial" w:hAnsi="Arial"/>
          <w:color w:val="auto"/>
          <w:sz w:val="20"/>
          <w:szCs w:val="20"/>
        </w:rPr>
        <w:t xml:space="preserve">oncorrência </w:t>
      </w:r>
      <w:r>
        <w:rPr>
          <w:rFonts w:eastAsia="Arial" w:cs="Arial" w:ascii="Arial" w:hAnsi="Arial"/>
          <w:color w:val="auto"/>
          <w:sz w:val="20"/>
          <w:szCs w:val="20"/>
        </w:rPr>
        <w:t>E</w:t>
      </w:r>
      <w:r>
        <w:rPr>
          <w:rFonts w:eastAsia="Arial" w:cs="Arial" w:ascii="Arial" w:hAnsi="Arial"/>
          <w:color w:val="auto"/>
          <w:sz w:val="20"/>
          <w:szCs w:val="20"/>
        </w:rPr>
        <w:t xml:space="preserve">letrônica destinada à contratação de serviços de limpeza e manutenção de rede de esgoto e sistema de drenagem. </w:t>
      </w:r>
      <w:r>
        <w:rPr>
          <w:rFonts w:eastAsia="Arial" w:cs="Arial" w:ascii="Arial" w:hAnsi="Arial"/>
          <w:color w:val="auto"/>
          <w:sz w:val="20"/>
          <w:szCs w:val="20"/>
        </w:rPr>
        <w:t>F</w:t>
      </w:r>
      <w:r>
        <w:rPr>
          <w:rFonts w:eastAsia="Arial" w:cs="Arial" w:ascii="Arial" w:hAnsi="Arial"/>
          <w:color w:val="auto"/>
          <w:sz w:val="20"/>
          <w:szCs w:val="20"/>
        </w:rPr>
        <w:t>oram questionad</w:t>
      </w:r>
      <w:r>
        <w:rPr>
          <w:rFonts w:eastAsia="Arial" w:cs="Arial" w:ascii="Arial" w:hAnsi="Arial"/>
          <w:color w:val="auto"/>
          <w:sz w:val="20"/>
          <w:szCs w:val="20"/>
        </w:rPr>
        <w:t>o</w:t>
      </w:r>
      <w:r>
        <w:rPr>
          <w:rFonts w:eastAsia="Arial" w:cs="Arial" w:ascii="Arial" w:hAnsi="Arial"/>
          <w:color w:val="auto"/>
          <w:sz w:val="20"/>
          <w:szCs w:val="20"/>
        </w:rPr>
        <w:t xml:space="preserve">s, entre outros aspectos, a vedação à participação de empresas reunidas em consórcio e a suficiência da justificativa técnica para a formação do orçamento estimado. Quanto à primeira questão, </w:t>
      </w:r>
      <w:r>
        <w:rPr>
          <w:rFonts w:eastAsia="Arial" w:cs="Arial" w:ascii="Arial" w:hAnsi="Arial"/>
          <w:color w:val="auto"/>
          <w:sz w:val="20"/>
          <w:szCs w:val="20"/>
        </w:rPr>
        <w:t>O</w:t>
      </w:r>
      <w:r>
        <w:rPr>
          <w:rFonts w:eastAsia="Arial" w:cs="Arial" w:ascii="Arial" w:hAnsi="Arial"/>
          <w:color w:val="auto"/>
          <w:sz w:val="20"/>
          <w:szCs w:val="20"/>
        </w:rPr>
        <w:t xml:space="preserve"> Tribunal de Contas reconheceu que a Administração não apresentou justificativa técnica objetiva, específica e circunstanciada capaz de afastar a regra de admissibilidade de consórcios prevista no art. 15 da Lei nº 14.133/2021. </w:t>
      </w:r>
      <w:r>
        <w:rPr>
          <w:rFonts w:eastAsia="Arial" w:cs="Arial" w:ascii="Arial" w:hAnsi="Arial"/>
          <w:color w:val="auto"/>
          <w:sz w:val="20"/>
          <w:szCs w:val="20"/>
        </w:rPr>
        <w:t>Re</w:t>
      </w:r>
      <w:r>
        <w:rPr>
          <w:rFonts w:eastAsia="Arial" w:cs="Arial" w:ascii="Arial" w:hAnsi="Arial"/>
          <w:color w:val="auto"/>
          <w:sz w:val="20"/>
          <w:szCs w:val="20"/>
        </w:rPr>
        <w:t xml:space="preserve">ssaltou que a vedação constitui medida excepcional e deve estar fundamentada em elementos concretos relacionados às características do objeto, não sendo suficientes alegações genéricas de insegurança jurídica, conveniência administrativa, receio da atuação dos órgãos de controle ou simples afirmação de que existem empresas aptas a executar individualmente o objeto. Com fundamento também no art. 37, caput e inciso XXI, da Constituição Federal, destacou-se que a irregularidade se aperfeiçoa com a própria inclusão da cláusula restritiva sem motivação adequada, independentemente da demonstração de prejuízo efetivo ou da redução concreta do número de participantes. Assim, a posterior participação de diversos licitantes não convalida a restrição editalícia ilegal. </w:t>
      </w:r>
      <w:r>
        <w:rPr>
          <w:rFonts w:eastAsia="Arial" w:cs="Arial" w:ascii="Arial" w:hAnsi="Arial"/>
          <w:color w:val="auto"/>
          <w:sz w:val="20"/>
          <w:szCs w:val="20"/>
        </w:rPr>
        <w:t xml:space="preserve">O </w:t>
      </w:r>
      <w:r>
        <w:rPr>
          <w:rFonts w:eastAsia="Arial" w:cs="Arial" w:ascii="Arial" w:hAnsi="Arial"/>
          <w:color w:val="auto"/>
          <w:sz w:val="20"/>
          <w:szCs w:val="20"/>
        </w:rPr>
        <w:t xml:space="preserve">Tribunal concluiu pela regularidade da formação do preço estimado, diante da existência de memória de cálculo, estudos técnicos, planilhas orçamentárias, composições de custos baseadas em sistemas oficiais, composição de BDI e memorial descritivo, documentação considerada compatível com a natureza do objeto. </w:t>
      </w:r>
      <w:r>
        <w:rPr>
          <w:rFonts w:eastAsia="Arial" w:cs="Arial" w:ascii="Arial" w:hAnsi="Arial"/>
          <w:color w:val="auto"/>
          <w:sz w:val="20"/>
          <w:szCs w:val="20"/>
        </w:rPr>
        <w:t>O Pleno do Tribunal de Contas do Estado do Ceará, por unanimidade dos votos, julgou</w:t>
      </w:r>
      <w:r>
        <w:rPr>
          <w:rFonts w:eastAsia="Arial" w:cs="Arial" w:ascii="Arial" w:hAnsi="Arial"/>
          <w:color w:val="auto"/>
          <w:sz w:val="20"/>
          <w:szCs w:val="20"/>
        </w:rPr>
        <w:t xml:space="preserve"> parcialmente procedente </w:t>
      </w:r>
      <w:r>
        <w:rPr>
          <w:rFonts w:eastAsia="Arial" w:cs="Arial" w:ascii="Arial" w:hAnsi="Arial"/>
          <w:color w:val="auto"/>
          <w:sz w:val="20"/>
          <w:szCs w:val="20"/>
        </w:rPr>
        <w:t xml:space="preserve">a </w:t>
      </w:r>
      <w:r>
        <w:rPr>
          <w:rFonts w:eastAsia="Arial" w:cs="Arial" w:ascii="Arial" w:hAnsi="Arial"/>
          <w:color w:val="auto"/>
          <w:sz w:val="20"/>
          <w:szCs w:val="20"/>
        </w:rPr>
        <w:t>R</w:t>
      </w:r>
      <w:r>
        <w:rPr>
          <w:rFonts w:eastAsia="Arial" w:cs="Arial" w:ascii="Arial" w:hAnsi="Arial"/>
          <w:color w:val="auto"/>
          <w:sz w:val="20"/>
          <w:szCs w:val="20"/>
        </w:rPr>
        <w:t>epresentação,</w:t>
      </w:r>
      <w:r>
        <w:rPr>
          <w:rFonts w:eastAsia="Arial" w:cs="Arial" w:ascii="Arial" w:hAnsi="Arial"/>
          <w:color w:val="auto"/>
          <w:sz w:val="20"/>
          <w:szCs w:val="20"/>
        </w:rPr>
        <w:t xml:space="preserve"> </w:t>
      </w:r>
      <w:r>
        <w:rPr>
          <w:rFonts w:eastAsia="Arial" w:cs="Arial" w:ascii="Arial" w:hAnsi="Arial"/>
          <w:color w:val="auto"/>
          <w:sz w:val="20"/>
          <w:szCs w:val="20"/>
        </w:rPr>
        <w:t xml:space="preserve">com exclusão do agente de contratação do polo passivo, em observância ao princípio da segregação de funções, reconheceu </w:t>
      </w:r>
      <w:r>
        <w:rPr>
          <w:rFonts w:eastAsia="Arial" w:cs="Arial" w:ascii="Arial" w:hAnsi="Arial"/>
          <w:color w:val="auto"/>
          <w:sz w:val="20"/>
          <w:szCs w:val="20"/>
        </w:rPr>
        <w:t>a irregularidade consistente na ausência de justificativa objetiva e circunstanciada para a vedação à participação de empresas reunidas e</w:t>
      </w:r>
      <w:r>
        <w:rPr>
          <w:rFonts w:eastAsia="Arial" w:cs="Arial" w:ascii="Arial" w:hAnsi="Arial"/>
          <w:color w:val="auto"/>
          <w:sz w:val="20"/>
          <w:szCs w:val="20"/>
        </w:rPr>
        <w:t>m</w:t>
      </w:r>
      <w:r>
        <w:rPr>
          <w:rFonts w:eastAsia="Arial" w:cs="Arial" w:ascii="Arial" w:hAnsi="Arial"/>
          <w:color w:val="auto"/>
          <w:sz w:val="20"/>
          <w:szCs w:val="20"/>
        </w:rPr>
        <w:t xml:space="preserve"> consórcio, em desacordo com o art.37, caput e inciso XXI, da Constituição Federal/88, e com os princípios da motivação, da competitividade e da isonomia. </w:t>
      </w:r>
      <w:r>
        <w:rPr>
          <w:rFonts w:eastAsia="Arial" w:cs="Arial" w:ascii="Arial" w:hAnsi="Arial"/>
          <w:color w:val="auto"/>
          <w:sz w:val="20"/>
          <w:szCs w:val="20"/>
        </w:rPr>
        <w:t xml:space="preserve">Determinou que nos futuros processos licitatórios em que optar pela vedação à participação de consórcios, </w:t>
      </w:r>
      <w:r>
        <w:rPr>
          <w:rFonts w:eastAsia="Arial" w:cs="Arial" w:ascii="Arial" w:hAnsi="Arial"/>
          <w:color w:val="auto"/>
          <w:sz w:val="20"/>
          <w:szCs w:val="20"/>
        </w:rPr>
        <w:t xml:space="preserve">a unidade jurisdicionada </w:t>
      </w:r>
      <w:r>
        <w:rPr>
          <w:rFonts w:eastAsia="Arial" w:cs="Arial" w:ascii="Arial" w:hAnsi="Arial"/>
          <w:color w:val="auto"/>
          <w:sz w:val="20"/>
          <w:szCs w:val="20"/>
        </w:rPr>
        <w:t>apresente justificativa</w:t>
      </w:r>
      <w:r>
        <w:rPr>
          <w:rFonts w:eastAsia="Arial" w:cs="Arial" w:ascii="Arial" w:hAnsi="Arial"/>
          <w:color w:val="auto"/>
          <w:sz w:val="20"/>
          <w:szCs w:val="20"/>
        </w:rPr>
        <w:t>s</w:t>
      </w:r>
      <w:r>
        <w:rPr>
          <w:rFonts w:eastAsia="Arial" w:cs="Arial" w:ascii="Arial" w:hAnsi="Arial"/>
          <w:color w:val="auto"/>
          <w:sz w:val="20"/>
          <w:szCs w:val="20"/>
        </w:rPr>
        <w:t xml:space="preserve"> técnica</w:t>
      </w:r>
      <w:r>
        <w:rPr>
          <w:rFonts w:eastAsia="Arial" w:cs="Arial" w:ascii="Arial" w:hAnsi="Arial"/>
          <w:color w:val="auto"/>
          <w:sz w:val="20"/>
          <w:szCs w:val="20"/>
        </w:rPr>
        <w:t>s</w:t>
      </w:r>
      <w:r>
        <w:rPr>
          <w:rFonts w:eastAsia="Arial" w:cs="Arial" w:ascii="Arial" w:hAnsi="Arial"/>
          <w:color w:val="auto"/>
          <w:sz w:val="20"/>
          <w:szCs w:val="20"/>
        </w:rPr>
        <w:t xml:space="preserve"> específica</w:t>
      </w:r>
      <w:r>
        <w:rPr>
          <w:rFonts w:eastAsia="Arial" w:cs="Arial" w:ascii="Arial" w:hAnsi="Arial"/>
          <w:color w:val="auto"/>
          <w:sz w:val="20"/>
          <w:szCs w:val="20"/>
        </w:rPr>
        <w:t>s</w:t>
      </w:r>
      <w:r>
        <w:rPr>
          <w:rFonts w:eastAsia="Arial" w:cs="Arial" w:ascii="Arial" w:hAnsi="Arial"/>
          <w:color w:val="auto"/>
          <w:sz w:val="20"/>
          <w:szCs w:val="20"/>
        </w:rPr>
        <w:t xml:space="preserve"> e robusta</w:t>
      </w:r>
      <w:r>
        <w:rPr>
          <w:rFonts w:eastAsia="Arial" w:cs="Arial" w:ascii="Arial" w:hAnsi="Arial"/>
          <w:color w:val="auto"/>
          <w:sz w:val="20"/>
          <w:szCs w:val="20"/>
        </w:rPr>
        <w:t>s</w:t>
      </w:r>
      <w:r>
        <w:rPr>
          <w:rFonts w:eastAsia="Arial" w:cs="Arial" w:ascii="Arial" w:hAnsi="Arial"/>
          <w:color w:val="auto"/>
          <w:sz w:val="20"/>
          <w:szCs w:val="20"/>
        </w:rPr>
        <w:t xml:space="preserve">, em observância ao dever da motivação dos atos administrativos, </w:t>
      </w:r>
      <w:r>
        <w:rPr>
          <w:rFonts w:eastAsia="Arial" w:cs="Arial" w:ascii="Arial" w:hAnsi="Arial"/>
          <w:color w:val="auto"/>
          <w:sz w:val="20"/>
          <w:szCs w:val="20"/>
        </w:rPr>
        <w:t>nos termos do art. 15 da Lei nº 14.133/2021.</w:t>
      </w:r>
    </w:p>
    <w:p>
      <w:pPr>
        <w:pStyle w:val="BodyText"/>
        <w:spacing w:lineRule="auto" w:line="240" w:before="0" w:after="0"/>
        <w:jc w:val="both"/>
        <w:rPr>
          <w:rFonts w:ascii="Arial" w:hAnsi="Arial" w:eastAsia="Arial" w:cs="Arial"/>
          <w:color w:val="auto"/>
          <w:sz w:val="18"/>
          <w:szCs w:val="18"/>
        </w:rPr>
      </w:pPr>
      <w:r>
        <w:rPr>
          <w:rFonts w:eastAsia="Arial" w:cs="Arial" w:ascii="Arial" w:hAnsi="Arial"/>
          <w:color w:val="auto"/>
          <w:sz w:val="18"/>
          <w:szCs w:val="18"/>
        </w:rPr>
      </w:r>
    </w:p>
    <w:p>
      <w:pPr>
        <w:pStyle w:val="BodyText"/>
        <w:spacing w:lineRule="auto" w:line="240" w:before="0" w:after="0"/>
        <w:jc w:val="both"/>
        <w:rPr/>
      </w:pPr>
      <w:hyperlink r:id="rId19">
        <w:r>
          <w:rPr>
            <w:rStyle w:val="Hyperlink"/>
            <w:rFonts w:ascii="Arial" w:hAnsi="Arial"/>
            <w:color w:val="auto"/>
            <w:sz w:val="18"/>
            <w:szCs w:val="18"/>
          </w:rPr>
          <w:t>Processo n.º 13915/2025-9.</w:t>
        </w:r>
      </w:hyperlink>
      <w:r>
        <w:rPr>
          <w:rFonts w:eastAsia="Arial" w:cs="Arial" w:ascii="Arial" w:hAnsi="Arial"/>
          <w:color w:val="000000"/>
          <w:sz w:val="18"/>
          <w:szCs w:val="18"/>
          <w:shd w:fill="FFFFFF" w:val="clear"/>
        </w:rPr>
        <w:t xml:space="preserve">  Relator(a): </w:t>
      </w:r>
      <w:r>
        <w:rPr>
          <w:rFonts w:eastAsia="Arial" w:cs="Arial" w:ascii="Arial" w:hAnsi="Arial"/>
          <w:color w:val="000000"/>
          <w:sz w:val="18"/>
          <w:szCs w:val="18"/>
          <w:shd w:fill="FFFFFF" w:val="clear"/>
        </w:rPr>
        <w:t>Cons.</w:t>
      </w:r>
      <w:r>
        <w:rPr>
          <w:rFonts w:eastAsia="Arial" w:cs="Arial" w:ascii="Arial" w:hAnsi="Arial"/>
          <w:color w:val="000000"/>
          <w:sz w:val="18"/>
          <w:szCs w:val="18"/>
          <w:shd w:fill="FFFFFF" w:val="clear"/>
        </w:rPr>
        <w:t xml:space="preserve"> Valdomiro Távora.   Sessão: </w:t>
      </w:r>
      <w:r>
        <w:rPr>
          <w:rFonts w:eastAsia="Arial" w:cs="Arial" w:ascii="Arial" w:hAnsi="Arial"/>
          <w:color w:val="000000"/>
          <w:sz w:val="18"/>
          <w:szCs w:val="18"/>
          <w:shd w:fill="FFFFFF" w:val="clear"/>
        </w:rPr>
        <w:t xml:space="preserve">Pleno </w:t>
      </w:r>
      <w:r>
        <w:rPr>
          <w:rFonts w:eastAsia="Arial" w:cs="Arial" w:ascii="Arial" w:hAnsi="Arial"/>
          <w:color w:val="000000"/>
          <w:sz w:val="18"/>
          <w:szCs w:val="18"/>
          <w:shd w:fill="FFFFFF" w:val="clear"/>
        </w:rPr>
        <w:t xml:space="preserve">de </w:t>
      </w:r>
      <w:r>
        <w:rPr>
          <w:rFonts w:eastAsia="Arial" w:cs="Arial" w:ascii="Arial" w:hAnsi="Arial"/>
          <w:color w:val="000000"/>
          <w:sz w:val="18"/>
          <w:szCs w:val="18"/>
          <w:shd w:fill="FFFFFF" w:val="clear"/>
        </w:rPr>
        <w:t>06/07</w:t>
      </w:r>
      <w:r>
        <w:rPr>
          <w:rFonts w:eastAsia="Arial" w:cs="Arial" w:ascii="Arial" w:hAnsi="Arial"/>
          <w:color w:val="000000"/>
          <w:sz w:val="18"/>
          <w:szCs w:val="18"/>
          <w:shd w:fill="FFFFFF" w:val="clear"/>
        </w:rPr>
        <w:t xml:space="preserve">/2026.  Ata n.º </w:t>
      </w:r>
      <w:r>
        <w:rPr>
          <w:rFonts w:eastAsia="Arial" w:cs="Arial" w:ascii="Arial" w:hAnsi="Arial"/>
          <w:color w:val="000000"/>
          <w:sz w:val="18"/>
          <w:szCs w:val="18"/>
          <w:shd w:fill="FFFFFF" w:val="clear"/>
        </w:rPr>
        <w:t>274</w:t>
      </w:r>
      <w:r>
        <w:rPr>
          <w:rFonts w:eastAsia="Arial" w:cs="Arial" w:ascii="Arial" w:hAnsi="Arial"/>
          <w:color w:val="000000"/>
          <w:sz w:val="18"/>
          <w:szCs w:val="18"/>
          <w:shd w:fill="FFFFFF" w:val="clear"/>
        </w:rPr>
        <w:t xml:space="preserve">/2026.  DO: </w:t>
      </w:r>
      <w:r>
        <w:rPr>
          <w:rFonts w:eastAsia="Arial" w:cs="Arial" w:ascii="Arial" w:hAnsi="Arial"/>
          <w:color w:val="000000"/>
          <w:sz w:val="18"/>
          <w:szCs w:val="18"/>
          <w:shd w:fill="FFFFFF" w:val="clear"/>
        </w:rPr>
        <w:t>28</w:t>
      </w:r>
      <w:r>
        <w:rPr>
          <w:rFonts w:eastAsia="Arial" w:cs="Arial" w:ascii="Arial" w:hAnsi="Arial"/>
          <w:color w:val="000000"/>
          <w:sz w:val="18"/>
          <w:szCs w:val="18"/>
          <w:shd w:fill="FFFFFF" w:val="clear"/>
        </w:rPr>
        <w:t>/0</w:t>
      </w:r>
      <w:r>
        <w:rPr>
          <w:rFonts w:eastAsia="Arial" w:cs="Arial" w:ascii="Arial" w:hAnsi="Arial"/>
          <w:color w:val="000000"/>
          <w:sz w:val="18"/>
          <w:szCs w:val="18"/>
          <w:shd w:fill="FFFFFF" w:val="clear"/>
        </w:rPr>
        <w:t>7</w:t>
      </w:r>
      <w:r>
        <w:rPr>
          <w:rFonts w:eastAsia="Arial" w:cs="Arial" w:ascii="Arial" w:hAnsi="Arial"/>
          <w:color w:val="000000"/>
          <w:sz w:val="18"/>
          <w:szCs w:val="18"/>
          <w:shd w:fill="FFFFFF" w:val="clear"/>
        </w:rPr>
        <w:t>/2026.</w:t>
      </w:r>
    </w:p>
    <w:p>
      <w:pPr>
        <w:pStyle w:val="BodyText"/>
        <w:spacing w:lineRule="auto" w:line="240" w:before="0" w:after="0"/>
        <w:jc w:val="both"/>
        <w:rPr>
          <w:rFonts w:ascii="Arial" w:hAnsi="Arial" w:eastAsia="Arial" w:cs="Arial"/>
          <w:color w:val="C9211E"/>
          <w:sz w:val="18"/>
          <w:szCs w:val="18"/>
          <w:shd w:fill="FFFFFF" w:val="clear"/>
        </w:rPr>
      </w:pPr>
      <w:r>
        <w:rPr>
          <w:rFonts w:eastAsia="Arial" w:cs="Arial" w:ascii="Arial" w:hAnsi="Arial"/>
          <w:color w:val="C9211E"/>
          <w:sz w:val="18"/>
          <w:szCs w:val="18"/>
          <w:shd w:fill="FFFFFF" w:val="clear"/>
        </w:rPr>
        <w:drawing>
          <wp:anchor behindDoc="1" distT="0" distB="0" distL="0" distR="0" simplePos="0" locked="0" layoutInCell="1" allowOverlap="1" relativeHeight="17">
            <wp:simplePos x="0" y="0"/>
            <wp:positionH relativeFrom="column">
              <wp:posOffset>-55245</wp:posOffset>
            </wp:positionH>
            <wp:positionV relativeFrom="paragraph">
              <wp:posOffset>90170</wp:posOffset>
            </wp:positionV>
            <wp:extent cx="6824980" cy="478155"/>
            <wp:effectExtent l="0" t="0" r="0" b="0"/>
            <wp:wrapNone/>
            <wp:docPr id="11" name="Figura7 Copia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7 Copia 4" descr="" title=""/>
                    <pic:cNvPicPr>
                      <a:picLocks noChangeAspect="1" noChangeArrowheads="1"/>
                    </pic:cNvPicPr>
                  </pic:nvPicPr>
                  <pic:blipFill>
                    <a:blip r:embed="rId20"/>
                    <a:srcRect l="-6" t="-135" r="-6" b="-135"/>
                    <a:stretch>
                      <a:fillRect/>
                    </a:stretch>
                  </pic:blipFill>
                  <pic:spPr bwMode="auto">
                    <a:xfrm>
                      <a:off x="0" y="0"/>
                      <a:ext cx="6824980" cy="478155"/>
                    </a:xfrm>
                    <a:prstGeom prst="rect">
                      <a:avLst/>
                    </a:prstGeom>
                  </pic:spPr>
                </pic:pic>
              </a:graphicData>
            </a:graphic>
          </wp:anchor>
        </w:drawing>
      </w:r>
    </w:p>
    <w:p>
      <w:pPr>
        <w:pStyle w:val="Heading2"/>
        <w:spacing w:lineRule="auto" w:line="240" w:before="0" w:after="0"/>
        <w:ind w:hanging="0" w:start="0" w:end="0"/>
        <w:jc w:val="both"/>
        <w:rPr>
          <w:rFonts w:ascii="Arial" w:hAnsi="Arial" w:eastAsia="Arial" w:cs="Arial"/>
          <w:b/>
          <w:bCs/>
          <w:color w:val="C9211E"/>
          <w:sz w:val="18"/>
          <w:szCs w:val="18"/>
          <w:shd w:fill="auto" w:val="clear"/>
        </w:rPr>
      </w:pPr>
      <w:r>
        <w:rPr>
          <w:rFonts w:eastAsia="Arial" w:cs="Arial" w:ascii="Arial" w:hAnsi="Arial"/>
          <w:b/>
          <w:bCs/>
          <w:color w:val="C9211E"/>
          <w:sz w:val="18"/>
          <w:szCs w:val="18"/>
          <w:shd w:fill="auto" w:val="clear"/>
        </w:rPr>
      </w:r>
    </w:p>
    <w:p>
      <w:pPr>
        <w:pStyle w:val="Heading2"/>
        <w:spacing w:lineRule="auto" w:line="240" w:before="0" w:after="0"/>
        <w:ind w:hanging="0" w:start="0" w:end="0"/>
        <w:jc w:val="center"/>
        <w:rPr>
          <w:rFonts w:ascii="Arial" w:hAnsi="Arial" w:eastAsia="Arial" w:cs="Arial"/>
          <w:b/>
          <w:bCs/>
          <w:color w:val="FFFFFF"/>
          <w:sz w:val="22"/>
          <w:szCs w:val="22"/>
          <w:shd w:fill="auto" w:val="clear"/>
        </w:rPr>
      </w:pPr>
      <w:r>
        <w:rPr>
          <w:rFonts w:eastAsia="Arial" w:cs="Arial" w:ascii="Arial" w:hAnsi="Arial"/>
          <w:b/>
          <w:bCs/>
          <w:color w:val="FFFFFF"/>
          <w:sz w:val="22"/>
          <w:szCs w:val="22"/>
          <w:shd w:fill="auto" w:val="clear"/>
        </w:rPr>
        <w:t>ACÓRDÃO Nº 6527/2026</w:t>
      </w:r>
    </w:p>
    <w:p>
      <w:pPr>
        <w:pStyle w:val="Normal"/>
        <w:spacing w:lineRule="auto" w:line="240" w:before="0" w:after="0"/>
        <w:ind w:hanging="0" w:start="0" w:end="0"/>
        <w:jc w:val="center"/>
        <w:rPr>
          <w:rFonts w:ascii="Arial" w:hAnsi="Arial" w:eastAsia="Arial" w:cs="Arial"/>
          <w:b/>
          <w:bCs/>
          <w:color w:val="FFFFFF"/>
          <w:sz w:val="18"/>
          <w:szCs w:val="18"/>
          <w:shd w:fill="auto" w:val="clear"/>
        </w:rPr>
      </w:pPr>
      <w:r>
        <w:rPr>
          <w:rFonts w:eastAsia="Arial" w:cs="Arial" w:ascii="Arial" w:hAnsi="Arial"/>
          <w:b/>
          <w:bCs/>
          <w:color w:val="FFFFFF"/>
          <w:sz w:val="18"/>
          <w:szCs w:val="18"/>
          <w:shd w:fill="auto" w:val="clear"/>
        </w:rPr>
      </w:r>
    </w:p>
    <w:p>
      <w:pPr>
        <w:pStyle w:val="Heading2"/>
        <w:spacing w:lineRule="auto" w:line="240" w:before="0" w:after="0"/>
        <w:ind w:hanging="0" w:start="0" w:end="0"/>
        <w:jc w:val="center"/>
        <w:rPr>
          <w:rFonts w:ascii="Arial" w:hAnsi="Arial" w:eastAsia="Arial" w:cs="Arial"/>
          <w:b/>
          <w:bCs/>
          <w:color w:val="auto"/>
          <w:sz w:val="18"/>
          <w:szCs w:val="18"/>
          <w:shd w:fill="auto" w:val="clear"/>
        </w:rPr>
      </w:pPr>
      <w:r>
        <w:rPr>
          <w:rFonts w:eastAsia="Arial" w:cs="Arial" w:ascii="Arial" w:hAnsi="Arial"/>
          <w:b/>
          <w:bCs/>
          <w:color w:val="000000"/>
          <w:sz w:val="18"/>
          <w:szCs w:val="18"/>
          <w:shd w:fill="auto" w:val="clear"/>
        </w:rPr>
      </w:r>
    </w:p>
    <w:p>
      <w:pPr>
        <w:pStyle w:val="Heading2"/>
        <w:spacing w:lineRule="auto" w:line="240" w:before="0" w:after="0"/>
        <w:ind w:hanging="0" w:start="0" w:end="0"/>
        <w:jc w:val="both"/>
        <w:rPr>
          <w:rFonts w:ascii="Arial" w:hAnsi="Arial"/>
          <w:color w:val="FFFFFF"/>
          <w:sz w:val="24"/>
          <w:szCs w:val="24"/>
        </w:rPr>
      </w:pPr>
      <w:r>
        <w:rPr>
          <w:rFonts w:ascii="Arial" w:hAnsi="Arial"/>
          <w:b/>
          <w:bCs/>
          <w:color w:val="000000"/>
          <w:sz w:val="24"/>
          <w:szCs w:val="24"/>
          <w:shd w:fill="auto" w:val="clear"/>
        </w:rPr>
        <w:t xml:space="preserve">REPRESENTAÇÃO. </w:t>
      </w:r>
      <w:r>
        <w:rPr>
          <w:rFonts w:ascii="Arial" w:hAnsi="Arial"/>
          <w:b/>
          <w:bCs/>
          <w:color w:val="000000"/>
          <w:sz w:val="24"/>
          <w:szCs w:val="24"/>
          <w:shd w:fill="auto" w:val="clear"/>
        </w:rPr>
        <w:t>MEDIDA CAUTELAR. HOMOLOGAÇÃO.</w:t>
      </w:r>
      <w:r>
        <w:rPr>
          <w:rFonts w:ascii="Arial" w:hAnsi="Arial"/>
          <w:b/>
          <w:bCs/>
          <w:color w:val="000000"/>
          <w:sz w:val="24"/>
          <w:szCs w:val="24"/>
          <w:shd w:fill="auto" w:val="clear"/>
        </w:rPr>
        <w:t xml:space="preserve"> </w:t>
      </w:r>
      <w:r>
        <w:rPr>
          <w:rFonts w:ascii="Arial" w:hAnsi="Arial"/>
          <w:b/>
          <w:bCs/>
          <w:color w:val="000000"/>
          <w:sz w:val="24"/>
          <w:szCs w:val="24"/>
          <w:shd w:fill="auto" w:val="clear"/>
        </w:rPr>
        <w:t xml:space="preserve">PREGÃO ELETRÔNICO. ATA DE REGISTRO DE PREÇOS. LICITAÇÃO POR ITEM. INVIABILIDADE DE ADJUDICAÇÃO. </w:t>
      </w:r>
      <w:r>
        <w:rPr>
          <w:rFonts w:ascii="Arial" w:hAnsi="Arial"/>
          <w:b/>
          <w:bCs/>
          <w:color w:val="000000"/>
          <w:sz w:val="24"/>
          <w:szCs w:val="24"/>
          <w:shd w:fill="auto" w:val="clear"/>
        </w:rPr>
        <w:t>RE</w:t>
      </w:r>
      <w:r>
        <w:rPr>
          <w:rFonts w:ascii="Arial" w:hAnsi="Arial"/>
          <w:b/>
          <w:bCs/>
          <w:color w:val="000000"/>
          <w:sz w:val="24"/>
          <w:szCs w:val="24"/>
          <w:shd w:fill="auto" w:val="clear"/>
        </w:rPr>
        <w:t>S</w:t>
      </w:r>
      <w:r>
        <w:rPr>
          <w:rFonts w:ascii="Arial" w:hAnsi="Arial"/>
          <w:b/>
          <w:bCs/>
          <w:color w:val="000000"/>
          <w:sz w:val="24"/>
          <w:szCs w:val="24"/>
          <w:shd w:fill="auto" w:val="clear"/>
        </w:rPr>
        <w:t>TR</w:t>
      </w:r>
      <w:r>
        <w:rPr>
          <w:rFonts w:ascii="Arial" w:hAnsi="Arial"/>
          <w:b/>
          <w:bCs/>
          <w:color w:val="000000"/>
          <w:sz w:val="24"/>
          <w:szCs w:val="24"/>
          <w:shd w:fill="auto" w:val="clear"/>
        </w:rPr>
        <w:t>I</w:t>
      </w:r>
      <w:r>
        <w:rPr>
          <w:rFonts w:ascii="Arial" w:hAnsi="Arial"/>
          <w:b/>
          <w:bCs/>
          <w:color w:val="000000"/>
          <w:sz w:val="24"/>
          <w:szCs w:val="24"/>
          <w:shd w:fill="auto" w:val="clear"/>
        </w:rPr>
        <w:t xml:space="preserve">ÇÃO À COMPETITIVIDADE. </w:t>
      </w:r>
      <w:r>
        <w:rPr>
          <w:rFonts w:ascii="Arial" w:hAnsi="Arial"/>
          <w:b/>
          <w:bCs/>
          <w:color w:val="000000"/>
          <w:sz w:val="24"/>
          <w:szCs w:val="24"/>
          <w:shd w:fill="auto" w:val="clear"/>
        </w:rPr>
        <w:t xml:space="preserve">PRINCÍPIO DA ECONOMICIDADE. PRINCÍPIO DA MOTIVAÇÃO. </w:t>
      </w:r>
      <w:r>
        <w:rPr>
          <w:rFonts w:ascii="Arial" w:hAnsi="Arial"/>
          <w:b/>
          <w:bCs/>
          <w:color w:val="000000"/>
          <w:sz w:val="24"/>
          <w:szCs w:val="24"/>
          <w:shd w:fill="auto" w:val="clear"/>
        </w:rPr>
        <w:t>SUSPENSÃO DA LICITAÇÃO.</w:t>
      </w:r>
      <w:r>
        <w:rPr>
          <w:rFonts w:ascii="Arial" w:hAnsi="Arial"/>
          <w:b/>
          <w:bCs/>
          <w:color w:val="auto"/>
          <w:sz w:val="24"/>
          <w:szCs w:val="24"/>
        </w:rPr>
        <w:tab/>
      </w:r>
    </w:p>
    <w:p>
      <w:pPr>
        <w:pStyle w:val="BodyText"/>
        <w:spacing w:lineRule="auto" w:line="240" w:before="0" w:after="0"/>
        <w:jc w:val="both"/>
        <w:rPr>
          <w:rFonts w:ascii="Arial" w:hAnsi="Arial"/>
          <w:b/>
          <w:bCs/>
          <w:color w:val="auto"/>
          <w:sz w:val="18"/>
          <w:szCs w:val="18"/>
        </w:rPr>
      </w:pPr>
      <w:r>
        <w:rPr>
          <w:rFonts w:ascii="Arial" w:hAnsi="Arial"/>
          <w:b/>
          <w:bCs/>
          <w:color w:val="auto"/>
          <w:sz w:val="18"/>
          <w:szCs w:val="18"/>
        </w:rPr>
      </w:r>
    </w:p>
    <w:p>
      <w:pPr>
        <w:pStyle w:val="BodyText"/>
        <w:spacing w:lineRule="auto" w:line="240" w:before="0" w:after="0"/>
        <w:jc w:val="both"/>
        <w:rPr>
          <w:rFonts w:ascii="Arial" w:hAnsi="Arial"/>
          <w:b w:val="false"/>
          <w:bCs w:val="false"/>
          <w:color w:val="auto"/>
          <w:sz w:val="20"/>
          <w:szCs w:val="20"/>
        </w:rPr>
      </w:pPr>
      <w:r>
        <w:rPr>
          <w:rFonts w:ascii="Arial" w:hAnsi="Arial"/>
          <w:b w:val="false"/>
          <w:bCs w:val="false"/>
          <w:color w:val="auto"/>
          <w:sz w:val="20"/>
          <w:szCs w:val="20"/>
        </w:rPr>
        <w:t xml:space="preserve">Representação acerca de pregão eletrônico destinado ao registro de preços para aquisição de kits pedagógicos modulares destinados à educação infantil. </w:t>
      </w:r>
      <w:r>
        <w:rPr>
          <w:rFonts w:ascii="Arial" w:hAnsi="Arial"/>
          <w:b w:val="false"/>
          <w:bCs w:val="false"/>
          <w:color w:val="auto"/>
          <w:sz w:val="20"/>
          <w:szCs w:val="20"/>
        </w:rPr>
        <w:t>Verificou</w:t>
      </w:r>
      <w:r>
        <w:rPr>
          <w:rFonts w:ascii="Arial" w:hAnsi="Arial"/>
          <w:b w:val="false"/>
          <w:bCs w:val="false"/>
          <w:color w:val="auto"/>
          <w:sz w:val="20"/>
          <w:szCs w:val="20"/>
        </w:rPr>
        <w:t>-</w:t>
      </w:r>
      <w:r>
        <w:rPr>
          <w:rFonts w:ascii="Arial" w:hAnsi="Arial"/>
          <w:b w:val="false"/>
          <w:bCs w:val="false"/>
          <w:color w:val="auto"/>
          <w:sz w:val="20"/>
          <w:szCs w:val="20"/>
        </w:rPr>
        <w:t xml:space="preserve">se </w:t>
      </w:r>
      <w:r>
        <w:rPr>
          <w:rFonts w:ascii="Arial" w:hAnsi="Arial"/>
          <w:b w:val="false"/>
          <w:bCs w:val="false"/>
          <w:color w:val="auto"/>
          <w:sz w:val="20"/>
          <w:szCs w:val="20"/>
        </w:rPr>
        <w:t>a</w:t>
      </w:r>
      <w:r>
        <w:rPr>
          <w:rFonts w:ascii="Arial" w:hAnsi="Arial"/>
          <w:b w:val="false"/>
          <w:bCs w:val="false"/>
          <w:color w:val="auto"/>
          <w:sz w:val="20"/>
          <w:szCs w:val="20"/>
        </w:rPr>
        <w:t xml:space="preserve"> aglutinação de bens de naturezas distintas em lote único e a fixação de prazo reduzido para entrega dos produtos. </w:t>
      </w:r>
      <w:r>
        <w:rPr>
          <w:rFonts w:ascii="Arial" w:hAnsi="Arial"/>
          <w:b w:val="false"/>
          <w:bCs w:val="false"/>
          <w:color w:val="auto"/>
          <w:sz w:val="20"/>
          <w:szCs w:val="20"/>
        </w:rPr>
        <w:t>I</w:t>
      </w:r>
      <w:r>
        <w:rPr>
          <w:rFonts w:ascii="Arial" w:hAnsi="Arial"/>
          <w:b w:val="false"/>
          <w:bCs w:val="false"/>
          <w:color w:val="auto"/>
          <w:sz w:val="20"/>
          <w:szCs w:val="20"/>
        </w:rPr>
        <w:t>dentificou-</w:t>
      </w:r>
      <w:r>
        <w:rPr>
          <w:rFonts w:ascii="Arial" w:hAnsi="Arial"/>
          <w:b w:val="false"/>
          <w:bCs w:val="false"/>
          <w:color w:val="auto"/>
          <w:sz w:val="20"/>
          <w:szCs w:val="20"/>
        </w:rPr>
        <w:t>se a</w:t>
      </w:r>
      <w:r>
        <w:rPr>
          <w:rFonts w:ascii="Arial" w:hAnsi="Arial"/>
          <w:b w:val="false"/>
          <w:bCs w:val="false"/>
          <w:color w:val="auto"/>
          <w:sz w:val="20"/>
          <w:szCs w:val="20"/>
        </w:rPr>
        <w:t xml:space="preserve"> aglutinação em dois níveis: cada item reunia bens heterogêneos, como mobiliário, acervos literários, tapetes, fantoches, jogos, brinquedos e outros materiais, e os cinco kits, destinados a diferentes faixas etárias e finalidades, foram reunidos em um único grupo de disputa, exigindo que apenas um fornecedor assumisse a integralidade do objeto. À luz dos arts. 40, § 3º, e 82, § 1º, da Lei nº 14.133/2021, o parcelamento constitui regra quando tecnicamente viável e economicamente vantajoso, sendo excepcional a adjudicação conjunta, cuja adoção exige demonstração concreta de sua necessidade e vantagem. A Corte destacou a Súmula TCU nº 247, segundo a qual a adjudicação por item deve ser admitida quando o objeto for divisível, ressalvadas hipóteses de prejuízo ao conjunto ou perda de economia de escala. No caso, as justificativas apresentadas pela </w:t>
      </w:r>
      <w:r>
        <w:rPr>
          <w:rFonts w:ascii="Arial" w:hAnsi="Arial"/>
          <w:b w:val="false"/>
          <w:bCs w:val="false"/>
          <w:color w:val="auto"/>
          <w:sz w:val="20"/>
          <w:szCs w:val="20"/>
        </w:rPr>
        <w:t>unidade jurisdicionada</w:t>
      </w:r>
      <w:r>
        <w:rPr>
          <w:rFonts w:ascii="Arial" w:hAnsi="Arial"/>
          <w:b w:val="false"/>
          <w:bCs w:val="false"/>
          <w:color w:val="auto"/>
          <w:sz w:val="20"/>
          <w:szCs w:val="20"/>
        </w:rPr>
        <w:t xml:space="preserve"> foram consideradas genéricas, sem comparação objetiva entre cenários de contratação, e não constavam dos autos o Estudo Técnico Preliminar, as pesquisas de preços e as justificativas técnicas mencionadas na defesa, circunstâncias que impediram comprovar a inviabilidade do parcelamento, a amplitude do mercado fornecedor e a vantajosidade da contratação conjunta. A participação de apenas um licitante foi considerada elemento que reforçou a plausibilidade da restrição à competitividade, embora não caracterizasse, isoladamente, direcionamento. Também foi considerada relevante a previsão de entrega em cinco dias úteis, sem diferenciação conforme volume, complexidade ou necessidade de montagem ou instalação, o que poderia impor obrigação desproporcional à futura contratada. </w:t>
      </w:r>
      <w:r>
        <w:rPr>
          <w:rFonts w:ascii="Arial" w:hAnsi="Arial"/>
          <w:b w:val="false"/>
          <w:bCs w:val="false"/>
          <w:color w:val="auto"/>
          <w:sz w:val="20"/>
          <w:szCs w:val="20"/>
        </w:rPr>
        <w:t>O Pleno do</w:t>
      </w:r>
      <w:r>
        <w:rPr>
          <w:rFonts w:ascii="Arial" w:hAnsi="Arial"/>
          <w:b w:val="false"/>
          <w:bCs w:val="false"/>
          <w:color w:val="auto"/>
          <w:sz w:val="20"/>
          <w:szCs w:val="20"/>
        </w:rPr>
        <w:t xml:space="preserve"> Tribunal </w:t>
      </w:r>
      <w:r>
        <w:rPr>
          <w:rFonts w:ascii="Arial" w:hAnsi="Arial"/>
          <w:b w:val="false"/>
          <w:bCs w:val="false"/>
          <w:color w:val="auto"/>
          <w:sz w:val="20"/>
          <w:szCs w:val="20"/>
        </w:rPr>
        <w:t xml:space="preserve">de Contas do Estado do Ceará, por unanimidade dos votos, </w:t>
      </w:r>
      <w:r>
        <w:rPr>
          <w:rFonts w:ascii="Arial" w:hAnsi="Arial"/>
          <w:b w:val="false"/>
          <w:bCs w:val="false"/>
          <w:color w:val="auto"/>
          <w:sz w:val="20"/>
          <w:szCs w:val="20"/>
        </w:rPr>
        <w:t xml:space="preserve">homologou a medida cautelar, determinando a suspensão dos efeitos da ata e de atos dela decorrentes </w:t>
      </w:r>
      <w:r>
        <w:rPr>
          <w:rFonts w:ascii="Arial" w:hAnsi="Arial"/>
          <w:b w:val="false"/>
          <w:bCs w:val="false"/>
          <w:color w:val="auto"/>
          <w:sz w:val="20"/>
          <w:szCs w:val="20"/>
        </w:rPr>
        <w:t>até ulterior deliberação de mérito sobre a matéria.</w:t>
      </w:r>
    </w:p>
    <w:p>
      <w:pPr>
        <w:pStyle w:val="BodyText"/>
        <w:spacing w:lineRule="auto" w:line="240" w:before="0" w:after="0"/>
        <w:jc w:val="both"/>
        <w:rPr>
          <w:rFonts w:ascii="Arial" w:hAnsi="Arial" w:eastAsia="Arial" w:cs="Arial"/>
          <w:b w:val="false"/>
          <w:bCs w:val="false"/>
          <w:color w:val="auto"/>
          <w:sz w:val="18"/>
          <w:szCs w:val="18"/>
          <w:shd w:fill="FFFFFF" w:val="clear"/>
        </w:rPr>
      </w:pPr>
      <w:r>
        <w:rPr>
          <w:rFonts w:eastAsia="Arial" w:cs="Arial" w:ascii="Arial" w:hAnsi="Arial"/>
          <w:b w:val="false"/>
          <w:bCs w:val="false"/>
          <w:color w:val="000000"/>
          <w:sz w:val="18"/>
          <w:szCs w:val="18"/>
          <w:shd w:fill="FFFFFF" w:val="clear"/>
        </w:rPr>
      </w:r>
    </w:p>
    <w:p>
      <w:pPr>
        <w:pStyle w:val="BodyText"/>
        <w:spacing w:lineRule="auto" w:line="240" w:before="0" w:after="0"/>
        <w:jc w:val="both"/>
        <w:rPr/>
      </w:pPr>
      <w:hyperlink r:id="rId21">
        <w:r>
          <w:rPr>
            <w:rStyle w:val="Hyperlink"/>
            <w:rFonts w:eastAsia="Arial" w:cs="Arial" w:ascii="Arial" w:hAnsi="Arial"/>
            <w:color w:val="000000"/>
            <w:kern w:val="0"/>
            <w:sz w:val="18"/>
            <w:szCs w:val="18"/>
            <w:shd w:fill="FFFFFF" w:val="clear"/>
            <w:lang w:val="pt-BR" w:eastAsia="pt-BR" w:bidi="ar-SA"/>
          </w:rPr>
          <w:t>Processo n.º 13080/2026-2.</w:t>
        </w:r>
      </w:hyperlink>
      <w:r>
        <w:rPr>
          <w:rFonts w:eastAsia="Arial" w:cs="Arial" w:ascii="Arial" w:hAnsi="Arial"/>
          <w:color w:val="000000"/>
          <w:kern w:val="0"/>
          <w:sz w:val="18"/>
          <w:szCs w:val="18"/>
          <w:shd w:fill="FFFFFF" w:val="clear"/>
          <w:lang w:val="pt-BR" w:eastAsia="pt-BR" w:bidi="ar-SA"/>
        </w:rPr>
        <w:t xml:space="preserve">   Relator(a): Cons. Edilberto Pontes.   </w:t>
      </w:r>
      <w:r>
        <w:rPr>
          <w:rFonts w:eastAsia="Arial" w:cs="Arial" w:ascii="Arial" w:hAnsi="Arial"/>
          <w:b w:val="false"/>
          <w:bCs w:val="false"/>
          <w:color w:val="000000"/>
          <w:sz w:val="18"/>
          <w:szCs w:val="18"/>
          <w:shd w:fill="FFFFFF" w:val="clear"/>
        </w:rPr>
        <w:t xml:space="preserve">Sessão: </w:t>
      </w:r>
      <w:r>
        <w:rPr>
          <w:rFonts w:eastAsia="Arial" w:cs="Arial" w:ascii="Arial" w:hAnsi="Arial"/>
          <w:b w:val="false"/>
          <w:bCs w:val="false"/>
          <w:color w:val="000000"/>
          <w:sz w:val="18"/>
          <w:szCs w:val="18"/>
          <w:shd w:fill="FFFFFF" w:val="clear"/>
        </w:rPr>
        <w:t xml:space="preserve">Pleno </w:t>
      </w:r>
      <w:r>
        <w:rPr>
          <w:rFonts w:eastAsia="Arial" w:cs="Arial" w:ascii="Arial" w:hAnsi="Arial"/>
          <w:b w:val="false"/>
          <w:bCs w:val="false"/>
          <w:color w:val="000000"/>
          <w:sz w:val="18"/>
          <w:szCs w:val="18"/>
          <w:shd w:fill="FFFFFF" w:val="clear"/>
        </w:rPr>
        <w:t xml:space="preserve">de </w:t>
      </w:r>
      <w:r>
        <w:rPr>
          <w:rFonts w:eastAsia="Arial" w:cs="Arial" w:ascii="Arial" w:hAnsi="Arial"/>
          <w:b w:val="false"/>
          <w:bCs w:val="false"/>
          <w:color w:val="000000"/>
          <w:sz w:val="18"/>
          <w:szCs w:val="18"/>
          <w:shd w:fill="FFFFFF" w:val="clear"/>
        </w:rPr>
        <w:t>20/07</w:t>
      </w:r>
      <w:r>
        <w:rPr>
          <w:rFonts w:eastAsia="Arial" w:cs="Arial" w:ascii="Arial" w:hAnsi="Arial"/>
          <w:b w:val="false"/>
          <w:bCs w:val="false"/>
          <w:color w:val="000000"/>
          <w:sz w:val="18"/>
          <w:szCs w:val="18"/>
          <w:shd w:fill="FFFFFF" w:val="clear"/>
        </w:rPr>
        <w:t xml:space="preserve">/2026.   Ata n.º </w:t>
      </w:r>
      <w:r>
        <w:rPr>
          <w:rFonts w:eastAsia="Arial" w:cs="Arial" w:ascii="Arial" w:hAnsi="Arial"/>
          <w:b w:val="false"/>
          <w:bCs w:val="false"/>
          <w:color w:val="000000"/>
          <w:sz w:val="18"/>
          <w:szCs w:val="18"/>
          <w:shd w:fill="FFFFFF" w:val="clear"/>
        </w:rPr>
        <w:t>275</w:t>
      </w:r>
      <w:r>
        <w:rPr>
          <w:rFonts w:eastAsia="Arial" w:cs="Arial" w:ascii="Arial" w:hAnsi="Arial"/>
          <w:b w:val="false"/>
          <w:bCs w:val="false"/>
          <w:color w:val="000000"/>
          <w:sz w:val="18"/>
          <w:szCs w:val="18"/>
          <w:shd w:fill="FFFFFF" w:val="clear"/>
        </w:rPr>
        <w:t>/</w:t>
      </w:r>
      <w:r>
        <w:rPr>
          <w:rFonts w:eastAsia="Arial" w:cs="Arial" w:ascii="Arial" w:hAnsi="Arial"/>
          <w:b w:val="false"/>
          <w:bCs w:val="false"/>
          <w:color w:val="000000"/>
          <w:sz w:val="18"/>
          <w:szCs w:val="18"/>
          <w:shd w:fill="FFFFFF" w:val="clear"/>
        </w:rPr>
        <w:t xml:space="preserve">2026.  DO: </w:t>
      </w:r>
      <w:r>
        <w:rPr>
          <w:rFonts w:eastAsia="Arial" w:cs="Arial" w:ascii="Arial" w:hAnsi="Arial"/>
          <w:b w:val="false"/>
          <w:bCs w:val="false"/>
          <w:color w:val="000000"/>
          <w:sz w:val="18"/>
          <w:szCs w:val="18"/>
          <w:shd w:fill="FFFFFF" w:val="clear"/>
        </w:rPr>
        <w:t>10</w:t>
      </w:r>
      <w:r>
        <w:rPr>
          <w:rFonts w:eastAsia="Arial" w:cs="Arial" w:ascii="Arial" w:hAnsi="Arial"/>
          <w:b w:val="false"/>
          <w:bCs w:val="false"/>
          <w:color w:val="000000"/>
          <w:sz w:val="18"/>
          <w:szCs w:val="18"/>
          <w:shd w:fill="FFFFFF" w:val="clear"/>
        </w:rPr>
        <w:t>/0</w:t>
      </w:r>
      <w:r>
        <w:rPr>
          <w:rFonts w:eastAsia="Arial" w:cs="Arial" w:ascii="Arial" w:hAnsi="Arial"/>
          <w:b w:val="false"/>
          <w:bCs w:val="false"/>
          <w:color w:val="000000"/>
          <w:sz w:val="18"/>
          <w:szCs w:val="18"/>
          <w:shd w:fill="FFFFFF" w:val="clear"/>
        </w:rPr>
        <w:t>8</w:t>
      </w:r>
      <w:r>
        <w:rPr>
          <w:rFonts w:eastAsia="Arial" w:cs="Arial" w:ascii="Arial" w:hAnsi="Arial"/>
          <w:b w:val="false"/>
          <w:bCs w:val="false"/>
          <w:color w:val="000000"/>
          <w:sz w:val="18"/>
          <w:szCs w:val="18"/>
          <w:shd w:fill="FFFFFF" w:val="clear"/>
        </w:rPr>
        <w:t>/2026.</w:t>
      </w:r>
    </w:p>
    <w:p>
      <w:pPr>
        <w:pStyle w:val="BodyText"/>
        <w:spacing w:lineRule="auto" w:line="240" w:before="0" w:after="0"/>
        <w:jc w:val="both"/>
        <w:rPr>
          <w:rFonts w:ascii="Arial" w:hAnsi="Arial" w:eastAsia="Arial" w:cs="Arial"/>
          <w:b w:val="false"/>
          <w:bCs w:val="false"/>
          <w:color w:val="C9211E"/>
          <w:sz w:val="18"/>
          <w:szCs w:val="18"/>
          <w:shd w:fill="FFFFFF" w:val="clear"/>
        </w:rPr>
      </w:pPr>
      <w:r>
        <w:rPr>
          <w:rFonts w:eastAsia="Arial" w:cs="Arial" w:ascii="Arial" w:hAnsi="Arial"/>
          <w:b w:val="false"/>
          <w:bCs w:val="false"/>
          <w:color w:val="C9211E"/>
          <w:sz w:val="18"/>
          <w:szCs w:val="18"/>
          <w:shd w:fill="FFFFFF" w:val="clear"/>
        </w:rPr>
      </w:r>
    </w:p>
    <w:p>
      <w:pPr>
        <w:pStyle w:val="BodyText"/>
        <w:spacing w:lineRule="auto" w:line="240" w:before="0" w:after="0"/>
        <w:jc w:val="both"/>
        <w:rPr>
          <w:rFonts w:ascii="Arial" w:hAnsi="Arial" w:eastAsia="Arial" w:cs="Arial"/>
          <w:color w:val="C9211E"/>
          <w:sz w:val="18"/>
          <w:szCs w:val="18"/>
          <w:shd w:fill="FFFFFF" w:val="clear"/>
        </w:rPr>
      </w:pPr>
      <w:r>
        <w:rPr>
          <w:rFonts w:eastAsia="Arial" w:cs="Arial" w:ascii="Arial" w:hAnsi="Arial"/>
          <w:color w:val="C9211E"/>
          <w:sz w:val="18"/>
          <w:szCs w:val="18"/>
          <w:shd w:fill="FFFFFF" w:val="clear"/>
        </w:rPr>
        <w:drawing>
          <wp:anchor behindDoc="1" distT="0" distB="0" distL="0" distR="0" simplePos="0" locked="0" layoutInCell="1" allowOverlap="1" relativeHeight="18">
            <wp:simplePos x="0" y="0"/>
            <wp:positionH relativeFrom="column">
              <wp:posOffset>3810</wp:posOffset>
            </wp:positionH>
            <wp:positionV relativeFrom="paragraph">
              <wp:posOffset>-6350</wp:posOffset>
            </wp:positionV>
            <wp:extent cx="6829425" cy="478155"/>
            <wp:effectExtent l="0" t="0" r="0" b="0"/>
            <wp:wrapNone/>
            <wp:docPr id="12" name="Figura7 Copia 4 Copia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7 Copia 4 Copia 1" descr="" title=""/>
                    <pic:cNvPicPr>
                      <a:picLocks noChangeAspect="1" noChangeArrowheads="1"/>
                    </pic:cNvPicPr>
                  </pic:nvPicPr>
                  <pic:blipFill>
                    <a:blip r:embed="rId22"/>
                    <a:srcRect l="-6" t="-135" r="-6" b="-135"/>
                    <a:stretch>
                      <a:fillRect/>
                    </a:stretch>
                  </pic:blipFill>
                  <pic:spPr bwMode="auto">
                    <a:xfrm>
                      <a:off x="0" y="0"/>
                      <a:ext cx="6829425" cy="478155"/>
                    </a:xfrm>
                    <a:prstGeom prst="rect">
                      <a:avLst/>
                    </a:prstGeom>
                  </pic:spPr>
                </pic:pic>
              </a:graphicData>
            </a:graphic>
          </wp:anchor>
        </w:drawing>
      </w:r>
    </w:p>
    <w:p>
      <w:pPr>
        <w:pStyle w:val="Heading2"/>
        <w:spacing w:lineRule="auto" w:line="240" w:before="0" w:after="0"/>
        <w:ind w:hanging="0" w:start="0" w:end="0"/>
        <w:jc w:val="center"/>
        <w:rPr>
          <w:rFonts w:ascii="Arial" w:hAnsi="Arial"/>
          <w:b/>
          <w:bCs/>
          <w:color w:val="FFFFFF"/>
          <w:sz w:val="22"/>
          <w:szCs w:val="22"/>
        </w:rPr>
      </w:pPr>
      <w:r>
        <w:rPr>
          <w:rFonts w:eastAsia="Arial" w:cs="Arial" w:ascii="Arial" w:hAnsi="Arial"/>
          <w:b/>
          <w:bCs/>
          <w:color w:val="FFFFFF"/>
          <w:sz w:val="22"/>
          <w:szCs w:val="22"/>
          <w:shd w:fill="auto" w:val="clear"/>
        </w:rPr>
        <w:t xml:space="preserve">ACÓRDÃO Nº </w:t>
      </w:r>
      <w:r>
        <w:rPr>
          <w:rFonts w:eastAsia="Arial" w:cs="Arial" w:ascii="Arial" w:hAnsi="Arial"/>
          <w:b/>
          <w:bCs/>
          <w:color w:val="FFFFFF"/>
          <w:sz w:val="22"/>
          <w:szCs w:val="22"/>
          <w:shd w:fill="auto" w:val="clear"/>
        </w:rPr>
        <w:t>5733/2026</w:t>
      </w:r>
    </w:p>
    <w:p>
      <w:pPr>
        <w:pStyle w:val="Normal"/>
        <w:spacing w:lineRule="auto" w:line="240" w:before="0" w:after="0"/>
        <w:ind w:hanging="0" w:start="0" w:end="0"/>
        <w:jc w:val="center"/>
        <w:rPr>
          <w:rFonts w:ascii="Arial" w:hAnsi="Arial" w:eastAsia="Arial" w:cs="Arial"/>
          <w:b/>
          <w:bCs/>
          <w:color w:val="FFFFFF"/>
          <w:sz w:val="18"/>
          <w:szCs w:val="18"/>
          <w:shd w:fill="auto" w:val="clear"/>
        </w:rPr>
      </w:pPr>
      <w:r>
        <w:rPr>
          <w:rFonts w:eastAsia="Arial" w:cs="Arial" w:ascii="Arial" w:hAnsi="Arial"/>
          <w:b/>
          <w:bCs/>
          <w:color w:val="FFFFFF"/>
          <w:sz w:val="18"/>
          <w:szCs w:val="18"/>
          <w:shd w:fill="auto" w:val="clear"/>
        </w:rPr>
      </w:r>
    </w:p>
    <w:p>
      <w:pPr>
        <w:pStyle w:val="Heading2"/>
        <w:spacing w:lineRule="auto" w:line="240" w:before="0" w:after="0"/>
        <w:ind w:hanging="0" w:start="0" w:end="0"/>
        <w:jc w:val="center"/>
        <w:rPr>
          <w:rFonts w:ascii="Arial" w:hAnsi="Arial" w:eastAsia="Arial" w:cs="Arial"/>
          <w:b/>
          <w:bCs/>
          <w:color w:val="000000"/>
          <w:sz w:val="18"/>
          <w:szCs w:val="18"/>
          <w:shd w:fill="auto" w:val="clear"/>
        </w:rPr>
      </w:pPr>
      <w:r>
        <w:rPr>
          <w:rFonts w:eastAsia="Arial" w:cs="Arial" w:ascii="Arial" w:hAnsi="Arial"/>
          <w:b/>
          <w:bCs/>
          <w:color w:val="000000"/>
          <w:sz w:val="18"/>
          <w:szCs w:val="18"/>
          <w:shd w:fill="auto" w:val="clear"/>
        </w:rPr>
      </w:r>
    </w:p>
    <w:p>
      <w:pPr>
        <w:pStyle w:val="Heading2"/>
        <w:spacing w:lineRule="auto" w:line="240" w:before="0" w:after="0"/>
        <w:ind w:hanging="0" w:start="0" w:end="0"/>
        <w:jc w:val="both"/>
        <w:rPr>
          <w:rFonts w:ascii="Arial" w:hAnsi="Arial"/>
          <w:color w:val="auto"/>
          <w:sz w:val="24"/>
          <w:szCs w:val="24"/>
        </w:rPr>
      </w:pPr>
      <w:r>
        <w:rPr>
          <w:rFonts w:ascii="Arial" w:hAnsi="Arial"/>
          <w:b/>
          <w:bCs/>
          <w:color w:val="auto"/>
          <w:sz w:val="24"/>
          <w:szCs w:val="24"/>
        </w:rPr>
        <w:t xml:space="preserve">REPRESENTAÇÃO. MEDIDA CAUTELAR. </w:t>
      </w:r>
      <w:r>
        <w:rPr>
          <w:rFonts w:ascii="Arial" w:hAnsi="Arial"/>
          <w:b/>
          <w:bCs/>
          <w:color w:val="auto"/>
          <w:sz w:val="24"/>
          <w:szCs w:val="24"/>
        </w:rPr>
        <w:t xml:space="preserve">HOMOLOGAÇÃO. </w:t>
      </w:r>
      <w:r>
        <w:rPr>
          <w:rFonts w:ascii="Arial" w:hAnsi="Arial"/>
          <w:b/>
          <w:bCs/>
          <w:color w:val="auto"/>
          <w:sz w:val="24"/>
          <w:szCs w:val="24"/>
        </w:rPr>
        <w:t xml:space="preserve">INEXIGIBILIDADE DE LICITAÇÃO. </w:t>
      </w:r>
      <w:r>
        <w:rPr>
          <w:rFonts w:ascii="Arial" w:hAnsi="Arial"/>
          <w:b/>
          <w:bCs/>
          <w:color w:val="auto"/>
          <w:sz w:val="24"/>
          <w:szCs w:val="24"/>
        </w:rPr>
        <w:t xml:space="preserve">CONTRATAÇÃO DIRETA. </w:t>
      </w:r>
      <w:r>
        <w:rPr>
          <w:rFonts w:ascii="Arial" w:hAnsi="Arial"/>
          <w:b/>
          <w:bCs/>
          <w:color w:val="auto"/>
          <w:sz w:val="24"/>
          <w:szCs w:val="24"/>
        </w:rPr>
        <w:t xml:space="preserve">SOBREPREÇO. </w:t>
      </w:r>
      <w:r>
        <w:rPr>
          <w:rFonts w:ascii="Arial" w:hAnsi="Arial"/>
          <w:b/>
          <w:bCs/>
          <w:color w:val="auto"/>
          <w:sz w:val="24"/>
          <w:szCs w:val="24"/>
        </w:rPr>
        <w:t>FESTIVIDADE. CONTRATAÇÃO ARTISTA.</w:t>
      </w:r>
      <w:r>
        <w:rPr>
          <w:rFonts w:ascii="Arial" w:hAnsi="Arial"/>
          <w:b/>
          <w:bCs/>
          <w:color w:val="auto"/>
          <w:sz w:val="24"/>
          <w:szCs w:val="24"/>
        </w:rPr>
        <w:t xml:space="preserve"> </w:t>
      </w:r>
      <w:r>
        <w:rPr>
          <w:rFonts w:eastAsia="Liberation Serif" w:cs="Liberation Serif" w:ascii="Arial" w:hAnsi="Arial"/>
          <w:b/>
          <w:bCs/>
          <w:color w:val="auto"/>
          <w:kern w:val="0"/>
          <w:sz w:val="24"/>
          <w:szCs w:val="24"/>
          <w:lang w:val="pt-BR" w:eastAsia="pt-BR" w:bidi="ar-SA"/>
        </w:rPr>
        <w:t xml:space="preserve">PESQUISA DE PREÇOS. </w:t>
      </w:r>
      <w:r>
        <w:rPr>
          <w:rFonts w:eastAsia="Liberation Serif" w:cs="Liberation Serif" w:ascii="Arial" w:hAnsi="Arial"/>
          <w:b/>
          <w:bCs/>
          <w:color w:val="auto"/>
          <w:kern w:val="0"/>
          <w:sz w:val="24"/>
          <w:szCs w:val="24"/>
          <w:lang w:val="pt-BR" w:eastAsia="pt-BR" w:bidi="ar-SA"/>
        </w:rPr>
        <w:t>PREÇO GLOBAL. CONTINGENCIAMENTO DO PAGAMENTO.</w:t>
      </w:r>
    </w:p>
    <w:p>
      <w:pPr>
        <w:pStyle w:val="BodyText"/>
        <w:spacing w:lineRule="auto" w:line="240" w:before="0" w:after="0"/>
        <w:jc w:val="both"/>
        <w:rPr>
          <w:rFonts w:ascii="Arial" w:hAnsi="Arial"/>
          <w:b/>
          <w:bCs/>
          <w:color w:val="auto"/>
          <w:sz w:val="18"/>
          <w:szCs w:val="18"/>
        </w:rPr>
      </w:pPr>
      <w:r>
        <w:rPr>
          <w:rFonts w:ascii="Arial" w:hAnsi="Arial"/>
          <w:b/>
          <w:bCs/>
          <w:color w:val="auto"/>
          <w:sz w:val="18"/>
          <w:szCs w:val="18"/>
        </w:rPr>
      </w:r>
    </w:p>
    <w:p>
      <w:pPr>
        <w:pStyle w:val="BodyText"/>
        <w:spacing w:lineRule="auto" w:line="240" w:before="0" w:after="0"/>
        <w:jc w:val="both"/>
        <w:rPr>
          <w:rFonts w:ascii="Arial" w:hAnsi="Arial"/>
          <w:color w:val="auto"/>
          <w:sz w:val="20"/>
          <w:szCs w:val="20"/>
        </w:rPr>
      </w:pPr>
      <w:r>
        <w:rPr>
          <w:rFonts w:eastAsia="Arial" w:cs="Arial" w:ascii="Arial" w:hAnsi="Arial"/>
          <w:b w:val="false"/>
          <w:bCs w:val="false"/>
          <w:color w:val="000000"/>
          <w:sz w:val="20"/>
          <w:szCs w:val="20"/>
          <w:shd w:fill="auto" w:val="clear"/>
        </w:rPr>
        <w:t>R</w:t>
      </w:r>
      <w:r>
        <w:rPr>
          <w:rFonts w:eastAsia="Arial" w:cs="Arial" w:ascii="Arial" w:hAnsi="Arial"/>
          <w:b w:val="false"/>
          <w:bCs w:val="false"/>
          <w:color w:val="000000"/>
          <w:sz w:val="20"/>
          <w:szCs w:val="20"/>
          <w:shd w:fill="auto" w:val="clear"/>
        </w:rPr>
        <w:t xml:space="preserve">epresentação formulada com pedido de medida cautelar em razão de indícios de irregularidades e </w:t>
      </w:r>
      <w:r>
        <w:rPr>
          <w:rFonts w:eastAsia="Arial" w:cs="Arial" w:ascii="Arial" w:hAnsi="Arial"/>
          <w:b w:val="false"/>
          <w:bCs w:val="false"/>
          <w:color w:val="000000"/>
          <w:sz w:val="20"/>
          <w:szCs w:val="20"/>
          <w:shd w:fill="auto" w:val="clear"/>
        </w:rPr>
        <w:t>sobrepreço</w:t>
      </w:r>
      <w:r>
        <w:rPr>
          <w:rFonts w:eastAsia="Arial" w:cs="Arial" w:ascii="Arial" w:hAnsi="Arial"/>
          <w:b w:val="false"/>
          <w:bCs w:val="false"/>
          <w:color w:val="000000"/>
          <w:sz w:val="20"/>
          <w:szCs w:val="20"/>
          <w:shd w:fill="auto" w:val="clear"/>
        </w:rPr>
        <w:t xml:space="preserve"> na realização de inexigibilidade de licitação voltado à contratação de atrações artísticas para festividade municipal. </w:t>
      </w:r>
      <w:r>
        <w:rPr>
          <w:rFonts w:eastAsia="Arial" w:cs="Arial" w:ascii="Arial" w:hAnsi="Arial"/>
          <w:b w:val="false"/>
          <w:bCs w:val="false"/>
          <w:color w:val="000000"/>
          <w:sz w:val="20"/>
          <w:szCs w:val="20"/>
          <w:shd w:fill="auto" w:val="clear"/>
        </w:rPr>
        <w:t>O Tribunal</w:t>
      </w:r>
      <w:r>
        <w:rPr>
          <w:rFonts w:eastAsia="Arial" w:cs="Arial" w:ascii="Arial" w:hAnsi="Arial"/>
          <w:b w:val="false"/>
          <w:bCs w:val="false"/>
          <w:color w:val="000000"/>
          <w:sz w:val="20"/>
          <w:szCs w:val="20"/>
          <w:shd w:fill="auto" w:val="clear"/>
        </w:rPr>
        <w:t xml:space="preserve"> identificou severas deficiências na formação e justificativa dos preços praticados, revelando variações expressivas de cachês sem respaldo em dados de mercado, estimativas oficiais ou comprovação de ampliação de visibilidade comercial nas redes e plataformas de áudio dos artistas. Ademais, constatou-se a frágil utilização de contratações de outros entes como parâmetro de pesquisa sem a devida comprovação dos efetivos pagamentos ou de equivalência dos eventos, bem como a transferência indireta de despesas de infraestrutura (</w:t>
      </w:r>
      <w:r>
        <w:rPr>
          <w:rFonts w:eastAsia="Arial" w:cs="Arial" w:ascii="Arial" w:hAnsi="Arial"/>
          <w:b w:val="false"/>
          <w:bCs w:val="false"/>
          <w:i/>
          <w:color w:val="000000"/>
          <w:sz w:val="20"/>
          <w:szCs w:val="20"/>
          <w:shd w:fill="auto" w:val="clear"/>
        </w:rPr>
        <w:t>rider</w:t>
      </w:r>
      <w:r>
        <w:rPr>
          <w:rFonts w:eastAsia="Arial" w:cs="Arial" w:ascii="Arial" w:hAnsi="Arial"/>
          <w:b w:val="false"/>
          <w:bCs w:val="false"/>
          <w:color w:val="000000"/>
          <w:sz w:val="20"/>
          <w:szCs w:val="20"/>
          <w:shd w:fill="auto" w:val="clear"/>
        </w:rPr>
        <w:t xml:space="preserve"> técnico de som, iluminação e camarins) e de logística (hospedagem, alimentação e transporte) para a composição global do cachê artístico, promovendo a aglutinação indevida de objetos comuns e passíveis de competitividade. O Pleno d</w:t>
      </w:r>
      <w:r>
        <w:rPr>
          <w:rFonts w:eastAsia="Arial" w:cs="Arial" w:ascii="Arial" w:hAnsi="Arial"/>
          <w:b w:val="false"/>
          <w:bCs w:val="false"/>
          <w:color w:val="000000"/>
          <w:sz w:val="20"/>
          <w:szCs w:val="20"/>
          <w:shd w:fill="auto" w:val="clear"/>
        </w:rPr>
        <w:t>o Tribunal de Contas do Estado do Ceará</w:t>
      </w:r>
      <w:r>
        <w:rPr>
          <w:rFonts w:eastAsia="Arial" w:cs="Arial" w:ascii="Arial" w:hAnsi="Arial"/>
          <w:b w:val="false"/>
          <w:bCs w:val="false"/>
          <w:color w:val="000000"/>
          <w:sz w:val="20"/>
          <w:szCs w:val="20"/>
          <w:shd w:fill="auto" w:val="clear"/>
        </w:rPr>
        <w:t xml:space="preserve">, </w:t>
      </w:r>
      <w:r>
        <w:rPr>
          <w:rFonts w:eastAsia="Arial" w:cs="Arial" w:ascii="Arial" w:hAnsi="Arial"/>
          <w:b w:val="false"/>
          <w:bCs w:val="false"/>
          <w:color w:val="000000"/>
          <w:sz w:val="20"/>
          <w:szCs w:val="20"/>
          <w:shd w:fill="auto" w:val="clear"/>
        </w:rPr>
        <w:t>por unanimidade dos votos,</w:t>
      </w:r>
      <w:r>
        <w:rPr>
          <w:rFonts w:eastAsia="Arial" w:cs="Arial" w:ascii="Arial" w:hAnsi="Arial"/>
          <w:b w:val="false"/>
          <w:bCs w:val="false"/>
          <w:color w:val="000000"/>
          <w:sz w:val="20"/>
          <w:szCs w:val="20"/>
          <w:shd w:fill="auto" w:val="clear"/>
        </w:rPr>
        <w:t xml:space="preserve"> homologou a medida cautelar para contingenciar o pagamento até o limite dos preços médios de mercado apurados em eventos de porte similar, preservando a realização das apresentações em atenção ao interesse público e resguardando o erário contra potenciais desfalques financeiros decorrentes da violação aos arts. 5º, 23, 72 e 74, II, da Lei nº 14.133/2021. </w:t>
      </w:r>
    </w:p>
    <w:p>
      <w:pPr>
        <w:pStyle w:val="BodyText"/>
        <w:spacing w:lineRule="auto" w:line="240" w:before="0" w:after="0"/>
        <w:jc w:val="both"/>
        <w:rPr>
          <w:rFonts w:ascii="Arial" w:hAnsi="Arial" w:eastAsia="Arial" w:cs="Arial"/>
          <w:b w:val="false"/>
          <w:bCs w:val="false"/>
          <w:color w:val="auto"/>
          <w:sz w:val="18"/>
          <w:szCs w:val="18"/>
          <w:shd w:fill="FFFFFF" w:val="clear"/>
        </w:rPr>
      </w:pPr>
      <w:r>
        <w:rPr>
          <w:rFonts w:eastAsia="Arial" w:cs="Arial" w:ascii="Arial" w:hAnsi="Arial"/>
          <w:b w:val="false"/>
          <w:bCs w:val="false"/>
          <w:color w:val="000000"/>
          <w:sz w:val="18"/>
          <w:szCs w:val="18"/>
          <w:shd w:fill="FFFFFF" w:val="clear"/>
        </w:rPr>
      </w:r>
    </w:p>
    <w:p>
      <w:pPr>
        <w:pStyle w:val="BodyText"/>
        <w:spacing w:lineRule="auto" w:line="240" w:before="0" w:after="0"/>
        <w:jc w:val="both"/>
        <w:rPr/>
      </w:pPr>
      <w:hyperlink r:id="rId23">
        <w:r>
          <w:rPr>
            <w:rStyle w:val="Hyperlink"/>
            <w:rFonts w:ascii="Arial" w:hAnsi="Arial"/>
            <w:b w:val="false"/>
            <w:bCs w:val="false"/>
            <w:color w:val="auto"/>
            <w:sz w:val="18"/>
            <w:szCs w:val="18"/>
            <w:u w:val="single"/>
          </w:rPr>
          <w:t xml:space="preserve">Processo n.º </w:t>
        </w:r>
        <w:r>
          <w:rPr>
            <w:rStyle w:val="Hyperlink"/>
            <w:rFonts w:ascii="Arial" w:hAnsi="Arial"/>
            <w:b w:val="false"/>
            <w:bCs w:val="false"/>
            <w:color w:val="auto"/>
            <w:sz w:val="18"/>
            <w:szCs w:val="18"/>
            <w:u w:val="single"/>
          </w:rPr>
          <w:t>14966/2026-5</w:t>
        </w:r>
      </w:hyperlink>
      <w:r>
        <w:rPr>
          <w:rFonts w:eastAsia="Arial" w:cs="Arial" w:ascii="Arial" w:hAnsi="Arial"/>
          <w:b w:val="false"/>
          <w:bCs w:val="false"/>
          <w:color w:val="000000"/>
          <w:sz w:val="18"/>
          <w:szCs w:val="18"/>
          <w:u w:val="single"/>
          <w:shd w:fill="FFFFFF" w:val="clear"/>
        </w:rPr>
        <w:t>.</w:t>
      </w:r>
      <w:r>
        <w:rPr>
          <w:rFonts w:eastAsia="Arial" w:cs="Arial" w:ascii="Arial" w:hAnsi="Arial"/>
          <w:b w:val="false"/>
          <w:bCs w:val="false"/>
          <w:color w:val="000000"/>
          <w:sz w:val="18"/>
          <w:szCs w:val="18"/>
          <w:u w:val="none"/>
          <w:shd w:fill="FFFFFF" w:val="clear"/>
        </w:rPr>
        <w:t xml:space="preserve">    </w:t>
      </w:r>
      <w:r>
        <w:rPr>
          <w:rFonts w:eastAsia="Arial" w:cs="Arial" w:ascii="Arial" w:hAnsi="Arial"/>
          <w:b w:val="false"/>
          <w:bCs w:val="false"/>
          <w:color w:val="000000"/>
          <w:sz w:val="18"/>
          <w:szCs w:val="18"/>
          <w:shd w:fill="FFFFFF" w:val="clear"/>
        </w:rPr>
        <w:t xml:space="preserve">Relator(a): Cons. Soraia Victor.     Sessão: Pleno de </w:t>
      </w:r>
      <w:r>
        <w:rPr>
          <w:rFonts w:eastAsia="Arial" w:cs="Arial" w:ascii="Arial" w:hAnsi="Arial"/>
          <w:b w:val="false"/>
          <w:bCs w:val="false"/>
          <w:color w:val="000000"/>
          <w:sz w:val="18"/>
          <w:szCs w:val="18"/>
          <w:shd w:fill="FFFFFF" w:val="clear"/>
        </w:rPr>
        <w:t>06/07</w:t>
      </w:r>
      <w:r>
        <w:rPr>
          <w:rFonts w:eastAsia="Arial" w:cs="Arial" w:ascii="Arial" w:hAnsi="Arial"/>
          <w:b w:val="false"/>
          <w:bCs w:val="false"/>
          <w:color w:val="000000"/>
          <w:sz w:val="18"/>
          <w:szCs w:val="18"/>
          <w:shd w:fill="FFFFFF" w:val="clear"/>
        </w:rPr>
        <w:t xml:space="preserve">/2026.    Ata n.º </w:t>
      </w:r>
      <w:r>
        <w:rPr>
          <w:rFonts w:eastAsia="Arial" w:cs="Arial" w:ascii="Arial" w:hAnsi="Arial"/>
          <w:b w:val="false"/>
          <w:bCs w:val="false"/>
          <w:color w:val="000000"/>
          <w:sz w:val="18"/>
          <w:szCs w:val="18"/>
          <w:shd w:fill="FFFFFF" w:val="clear"/>
        </w:rPr>
        <w:t>274</w:t>
      </w:r>
      <w:r>
        <w:rPr>
          <w:rFonts w:eastAsia="Arial" w:cs="Arial" w:ascii="Arial" w:hAnsi="Arial"/>
          <w:b w:val="false"/>
          <w:bCs w:val="false"/>
          <w:color w:val="000000"/>
          <w:sz w:val="18"/>
          <w:szCs w:val="18"/>
          <w:shd w:fill="FFFFFF" w:val="clear"/>
        </w:rPr>
        <w:t xml:space="preserve">/2026.    DO: </w:t>
      </w:r>
      <w:r>
        <w:rPr>
          <w:rFonts w:eastAsia="Arial" w:cs="Arial" w:ascii="Arial" w:hAnsi="Arial"/>
          <w:b w:val="false"/>
          <w:bCs w:val="false"/>
          <w:color w:val="000000"/>
          <w:sz w:val="18"/>
          <w:szCs w:val="18"/>
          <w:shd w:fill="FFFFFF" w:val="clear"/>
        </w:rPr>
        <w:t>28</w:t>
      </w:r>
      <w:r>
        <w:rPr>
          <w:rFonts w:eastAsia="Arial" w:cs="Arial" w:ascii="Arial" w:hAnsi="Arial"/>
          <w:b w:val="false"/>
          <w:bCs w:val="false"/>
          <w:color w:val="000000"/>
          <w:sz w:val="18"/>
          <w:szCs w:val="18"/>
          <w:shd w:fill="FFFFFF" w:val="clear"/>
        </w:rPr>
        <w:t>/0</w:t>
      </w:r>
      <w:r>
        <w:rPr>
          <w:rFonts w:eastAsia="Arial" w:cs="Arial" w:ascii="Arial" w:hAnsi="Arial"/>
          <w:b w:val="false"/>
          <w:bCs w:val="false"/>
          <w:color w:val="000000"/>
          <w:sz w:val="18"/>
          <w:szCs w:val="18"/>
          <w:shd w:fill="FFFFFF" w:val="clear"/>
        </w:rPr>
        <w:t>7</w:t>
      </w:r>
      <w:r>
        <w:rPr>
          <w:rFonts w:eastAsia="Arial" w:cs="Arial" w:ascii="Arial" w:hAnsi="Arial"/>
          <w:b w:val="false"/>
          <w:bCs w:val="false"/>
          <w:color w:val="000000"/>
          <w:sz w:val="18"/>
          <w:szCs w:val="18"/>
          <w:shd w:fill="FFFFFF" w:val="clear"/>
        </w:rPr>
        <w:t>/2026.</w:t>
      </w:r>
    </w:p>
    <w:p>
      <w:pPr>
        <w:pStyle w:val="BodyText"/>
        <w:spacing w:lineRule="auto" w:line="240" w:before="0" w:after="0"/>
        <w:jc w:val="both"/>
        <w:rPr>
          <w:rFonts w:eastAsia="Arial" w:cs="Arial"/>
          <w:b w:val="false"/>
          <w:bCs w:val="false"/>
          <w:color w:val="C9211E"/>
          <w:shd w:fill="FFFFFF" w:val="clear"/>
        </w:rPr>
      </w:pPr>
      <w:r>
        <w:rPr>
          <w:rFonts w:ascii="Arial" w:hAnsi="Arial"/>
          <w:sz w:val="18"/>
          <w:szCs w:val="18"/>
        </w:rPr>
        <w:drawing>
          <wp:anchor behindDoc="1" distT="0" distB="0" distL="0" distR="0" simplePos="0" locked="0" layoutInCell="1" allowOverlap="1" relativeHeight="19">
            <wp:simplePos x="0" y="0"/>
            <wp:positionH relativeFrom="column">
              <wp:posOffset>-23495</wp:posOffset>
            </wp:positionH>
            <wp:positionV relativeFrom="paragraph">
              <wp:posOffset>103505</wp:posOffset>
            </wp:positionV>
            <wp:extent cx="6813550" cy="478155"/>
            <wp:effectExtent l="0" t="0" r="0" b="0"/>
            <wp:wrapNone/>
            <wp:docPr id="13" name="Figura7 Copia 4 Copia 1 Copia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7 Copia 4 Copia 1 Copia 1" descr="" title=""/>
                    <pic:cNvPicPr>
                      <a:picLocks noChangeAspect="1" noChangeArrowheads="1"/>
                    </pic:cNvPicPr>
                  </pic:nvPicPr>
                  <pic:blipFill>
                    <a:blip r:embed="rId24"/>
                    <a:srcRect l="-6" t="-135" r="-6" b="-135"/>
                    <a:stretch>
                      <a:fillRect/>
                    </a:stretch>
                  </pic:blipFill>
                  <pic:spPr bwMode="auto">
                    <a:xfrm>
                      <a:off x="0" y="0"/>
                      <a:ext cx="6813550" cy="478155"/>
                    </a:xfrm>
                    <a:prstGeom prst="rect">
                      <a:avLst/>
                    </a:prstGeom>
                  </pic:spPr>
                </pic:pic>
              </a:graphicData>
            </a:graphic>
          </wp:anchor>
        </w:drawing>
      </w:r>
    </w:p>
    <w:p>
      <w:pPr>
        <w:pStyle w:val="BodyText"/>
        <w:spacing w:lineRule="auto" w:line="240" w:before="0" w:after="0"/>
        <w:jc w:val="both"/>
        <w:rPr>
          <w:rFonts w:ascii="Arial" w:hAnsi="Arial" w:eastAsia="Arial" w:cs="Arial"/>
          <w:b w:val="false"/>
          <w:bCs w:val="false"/>
          <w:color w:val="C9211E"/>
          <w:sz w:val="18"/>
          <w:szCs w:val="18"/>
          <w:shd w:fill="FFFFFF" w:val="clear"/>
        </w:rPr>
      </w:pPr>
      <w:r>
        <w:rPr>
          <w:rFonts w:eastAsia="Arial" w:cs="Arial" w:ascii="Arial" w:hAnsi="Arial"/>
          <w:b w:val="false"/>
          <w:bCs w:val="false"/>
          <w:color w:val="C9211E"/>
          <w:sz w:val="18"/>
          <w:szCs w:val="18"/>
          <w:shd w:fill="FFFFFF" w:val="clear"/>
        </w:rPr>
      </w:r>
    </w:p>
    <w:p>
      <w:pPr>
        <w:pStyle w:val="Heading2"/>
        <w:spacing w:lineRule="auto" w:line="240" w:before="0" w:after="0"/>
        <w:ind w:hanging="0" w:start="0" w:end="0"/>
        <w:jc w:val="center"/>
        <w:rPr>
          <w:rFonts w:ascii="Arial" w:hAnsi="Arial"/>
          <w:sz w:val="22"/>
          <w:szCs w:val="22"/>
        </w:rPr>
      </w:pPr>
      <w:r>
        <w:rPr>
          <w:rFonts w:eastAsia="Arial" w:cs="Arial" w:ascii="Arial" w:hAnsi="Arial"/>
          <w:b/>
          <w:bCs/>
          <w:color w:val="FFFFFF"/>
          <w:sz w:val="22"/>
          <w:szCs w:val="22"/>
          <w:shd w:fill="auto" w:val="clear"/>
        </w:rPr>
        <w:t>A</w:t>
      </w:r>
      <w:r>
        <w:rPr>
          <w:rFonts w:eastAsia="Arial" w:cs="Arial" w:ascii="Arial" w:hAnsi="Arial"/>
          <w:b/>
          <w:bCs/>
          <w:color w:val="FFFFFF"/>
          <w:sz w:val="22"/>
          <w:szCs w:val="22"/>
          <w:shd w:fill="auto" w:val="clear"/>
        </w:rPr>
        <w:t xml:space="preserve">CÓRDÃO Nº </w:t>
      </w:r>
      <w:r>
        <w:rPr>
          <w:rFonts w:eastAsia="Arial" w:cs="Arial" w:ascii="Arial" w:hAnsi="Arial"/>
          <w:b/>
          <w:bCs/>
          <w:color w:val="FFFFFF"/>
          <w:sz w:val="22"/>
          <w:szCs w:val="22"/>
          <w:shd w:fill="auto" w:val="clear"/>
        </w:rPr>
        <w:t>6322/2026</w:t>
      </w:r>
    </w:p>
    <w:p>
      <w:pPr>
        <w:pStyle w:val="Normal"/>
        <w:spacing w:lineRule="auto" w:line="240" w:before="0" w:after="0"/>
        <w:ind w:hanging="0" w:start="0" w:end="0"/>
        <w:jc w:val="center"/>
        <w:rPr>
          <w:rFonts w:ascii="Arial" w:hAnsi="Arial" w:eastAsia="Arial" w:cs="Arial"/>
          <w:b/>
          <w:bCs/>
          <w:color w:val="FFFFFF"/>
          <w:sz w:val="18"/>
          <w:szCs w:val="18"/>
          <w:shd w:fill="auto" w:val="clear"/>
        </w:rPr>
      </w:pPr>
      <w:r>
        <w:rPr>
          <w:rFonts w:eastAsia="Arial" w:cs="Arial" w:ascii="Arial" w:hAnsi="Arial"/>
          <w:b/>
          <w:bCs/>
          <w:color w:val="FFFFFF"/>
          <w:sz w:val="18"/>
          <w:szCs w:val="18"/>
          <w:shd w:fill="auto" w:val="clear"/>
        </w:rPr>
      </w:r>
    </w:p>
    <w:p>
      <w:pPr>
        <w:pStyle w:val="Normal"/>
        <w:spacing w:lineRule="auto" w:line="240" w:before="0" w:after="0"/>
        <w:ind w:hanging="0" w:start="0" w:end="0"/>
        <w:jc w:val="center"/>
        <w:rPr>
          <w:rFonts w:ascii="Arial" w:hAnsi="Arial" w:eastAsia="Arial" w:cs="Arial"/>
          <w:b/>
          <w:bCs/>
          <w:color w:val="FFFFFF"/>
          <w:sz w:val="18"/>
          <w:szCs w:val="18"/>
          <w:shd w:fill="auto" w:val="clear"/>
        </w:rPr>
      </w:pPr>
      <w:r>
        <w:rPr>
          <w:rFonts w:eastAsia="Arial" w:cs="Arial" w:ascii="Arial" w:hAnsi="Arial"/>
          <w:b/>
          <w:bCs/>
          <w:color w:val="FFFFFF"/>
          <w:sz w:val="18"/>
          <w:szCs w:val="18"/>
          <w:shd w:fill="auto" w:val="clear"/>
        </w:rPr>
      </w:r>
    </w:p>
    <w:p>
      <w:pPr>
        <w:pStyle w:val="BodyText"/>
        <w:spacing w:lineRule="auto" w:line="240" w:before="0" w:after="0"/>
        <w:jc w:val="both"/>
        <w:rPr>
          <w:rFonts w:ascii="Arial" w:hAnsi="Arial"/>
          <w:b/>
          <w:bCs/>
          <w:color w:val="auto"/>
          <w:sz w:val="24"/>
          <w:szCs w:val="24"/>
        </w:rPr>
      </w:pPr>
      <w:r>
        <w:rPr>
          <w:rFonts w:ascii="Arial" w:hAnsi="Arial"/>
          <w:b/>
          <w:bCs/>
          <w:color w:val="auto"/>
          <w:sz w:val="24"/>
          <w:szCs w:val="24"/>
        </w:rPr>
        <w:t xml:space="preserve">REPRESENTAÇÃO. MEDIDA CAUTELAR. </w:t>
      </w:r>
      <w:r>
        <w:rPr>
          <w:rFonts w:ascii="Arial" w:hAnsi="Arial"/>
          <w:b/>
          <w:bCs/>
          <w:color w:val="auto"/>
          <w:sz w:val="24"/>
          <w:szCs w:val="24"/>
        </w:rPr>
        <w:t xml:space="preserve">HOMOLOGAÇÃO. </w:t>
      </w:r>
      <w:r>
        <w:rPr>
          <w:rFonts w:ascii="Arial" w:hAnsi="Arial"/>
          <w:b/>
          <w:bCs/>
          <w:color w:val="auto"/>
          <w:sz w:val="24"/>
          <w:szCs w:val="24"/>
        </w:rPr>
        <w:t xml:space="preserve">PREGÃO ELETRÔNICO. QUALIFICAÇÃO ECONÔMICO-FINANCEIRA. </w:t>
      </w:r>
      <w:r>
        <w:rPr>
          <w:rFonts w:ascii="Arial" w:hAnsi="Arial"/>
          <w:b/>
          <w:bCs/>
          <w:color w:val="auto"/>
          <w:sz w:val="24"/>
          <w:szCs w:val="24"/>
        </w:rPr>
        <w:t>INE</w:t>
      </w:r>
      <w:r>
        <w:rPr>
          <w:rFonts w:ascii="Arial" w:hAnsi="Arial"/>
          <w:b/>
          <w:bCs/>
          <w:color w:val="auto"/>
          <w:sz w:val="24"/>
          <w:szCs w:val="24"/>
        </w:rPr>
        <w:t>XEQUI</w:t>
      </w:r>
      <w:r>
        <w:rPr>
          <w:rFonts w:ascii="Arial" w:hAnsi="Arial"/>
          <w:b/>
          <w:bCs/>
          <w:color w:val="auto"/>
          <w:sz w:val="24"/>
          <w:szCs w:val="24"/>
        </w:rPr>
        <w:t>BILIDADE DA PROPOSTA.</w:t>
      </w:r>
      <w:r>
        <w:rPr>
          <w:rFonts w:ascii="Arial" w:hAnsi="Arial"/>
          <w:b/>
          <w:bCs/>
          <w:color w:val="auto"/>
          <w:sz w:val="24"/>
          <w:szCs w:val="24"/>
        </w:rPr>
        <w:t xml:space="preserve"> </w:t>
      </w:r>
      <w:r>
        <w:rPr>
          <w:rFonts w:ascii="Arial" w:hAnsi="Arial"/>
          <w:b/>
          <w:bCs/>
          <w:color w:val="auto"/>
          <w:sz w:val="24"/>
          <w:szCs w:val="24"/>
        </w:rPr>
        <w:t>SUSPENSÃO DA LICITAÇÃO.</w:t>
      </w:r>
    </w:p>
    <w:p>
      <w:pPr>
        <w:pStyle w:val="BodyText"/>
        <w:spacing w:lineRule="auto" w:line="240" w:before="0" w:after="0"/>
        <w:jc w:val="both"/>
        <w:rPr>
          <w:rFonts w:ascii="Arial" w:hAnsi="Arial" w:eastAsia="Arial" w:cs="Arial"/>
          <w:b/>
          <w:bCs/>
          <w:color w:val="auto"/>
          <w:sz w:val="18"/>
          <w:szCs w:val="18"/>
        </w:rPr>
      </w:pPr>
      <w:r>
        <w:rPr>
          <w:rFonts w:eastAsia="Arial" w:cs="Arial" w:ascii="Arial" w:hAnsi="Arial"/>
          <w:b/>
          <w:bCs/>
          <w:color w:val="auto"/>
          <w:sz w:val="18"/>
          <w:szCs w:val="18"/>
        </w:rPr>
      </w:r>
    </w:p>
    <w:p>
      <w:pPr>
        <w:pStyle w:val="BodyText"/>
        <w:spacing w:lineRule="auto" w:line="240" w:before="0" w:after="0"/>
        <w:jc w:val="both"/>
        <w:rPr>
          <w:rFonts w:ascii="Arial" w:hAnsi="Arial" w:eastAsia="Arial" w:cs="Arial"/>
          <w:b w:val="false"/>
          <w:bCs w:val="false"/>
          <w:color w:val="auto"/>
          <w:sz w:val="20"/>
          <w:szCs w:val="20"/>
          <w:shd w:fill="auto" w:val="clear"/>
        </w:rPr>
      </w:pPr>
      <w:r>
        <w:rPr>
          <w:rFonts w:eastAsia="Arial" w:cs="Arial" w:ascii="Arial" w:hAnsi="Arial"/>
          <w:b w:val="false"/>
          <w:bCs w:val="false"/>
          <w:color w:val="000000"/>
          <w:sz w:val="20"/>
          <w:szCs w:val="20"/>
          <w:shd w:fill="auto" w:val="clear"/>
        </w:rPr>
        <w:t xml:space="preserve">Representação, com pedido de medida cautelar, em virtude de supostas irregularidades em pregão eletrônico promovido para a contratação de serviços de vigilância armada. Na instrução processual, identificou-se que a licitante declarada vencedora apresentou informações divergentes e sem comprovação documental adequada sobre os contratos vigentes firmados com a Administração Pública. Essa </w:t>
      </w:r>
      <w:r>
        <w:rPr>
          <w:rFonts w:eastAsia="Arial" w:cs="Arial" w:ascii="Arial" w:hAnsi="Arial"/>
          <w:b w:val="false"/>
          <w:bCs w:val="false"/>
          <w:color w:val="000000"/>
          <w:sz w:val="20"/>
          <w:szCs w:val="20"/>
          <w:shd w:fill="auto" w:val="clear"/>
        </w:rPr>
        <w:t>inconsistência</w:t>
      </w:r>
      <w:r>
        <w:rPr>
          <w:rFonts w:eastAsia="Arial" w:cs="Arial" w:ascii="Arial" w:hAnsi="Arial"/>
          <w:b w:val="false"/>
          <w:bCs w:val="false"/>
          <w:color w:val="000000"/>
          <w:sz w:val="20"/>
          <w:szCs w:val="20"/>
          <w:shd w:fill="auto" w:val="clear"/>
        </w:rPr>
        <w:t xml:space="preserve"> nos dados comprometeu a verificação da capacidade econômico-financeira do licitante, violando as regras fixadas no instrumento convocatório. Além disso, evidenciou-se indício de inexequibilidade da proposta financeira devido à fixação de margem de lucro em patamar irrisório, sem a devida comprovação de sua viabilidade técnica e financeira perante o órgão licitante. </w:t>
      </w:r>
      <w:r>
        <w:rPr>
          <w:rFonts w:eastAsia="Arial" w:cs="Arial" w:ascii="Arial" w:hAnsi="Arial"/>
          <w:b w:val="false"/>
          <w:bCs w:val="false"/>
          <w:color w:val="000000"/>
          <w:sz w:val="20"/>
          <w:szCs w:val="20"/>
          <w:shd w:fill="auto" w:val="clear"/>
        </w:rPr>
        <w:t>Os</w:t>
      </w:r>
      <w:r>
        <w:rPr>
          <w:rFonts w:eastAsia="Arial" w:cs="Arial" w:ascii="Arial" w:hAnsi="Arial"/>
          <w:b w:val="false"/>
          <w:bCs w:val="false"/>
          <w:color w:val="000000"/>
          <w:sz w:val="20"/>
          <w:szCs w:val="20"/>
          <w:shd w:fill="auto" w:val="clear"/>
        </w:rPr>
        <w:t xml:space="preserve"> parâmetros percentuais previstos no edital para aferir a exequibilidade das propostas possuem presunção apenas relativa, não afastando o dever de a </w:t>
      </w:r>
      <w:r>
        <w:rPr>
          <w:rFonts w:eastAsia="Arial" w:cs="Arial" w:ascii="Arial" w:hAnsi="Arial"/>
          <w:b w:val="false"/>
          <w:bCs w:val="false"/>
          <w:color w:val="000000"/>
          <w:sz w:val="20"/>
          <w:szCs w:val="20"/>
          <w:shd w:fill="auto" w:val="clear"/>
        </w:rPr>
        <w:t>A</w:t>
      </w:r>
      <w:r>
        <w:rPr>
          <w:rFonts w:eastAsia="Arial" w:cs="Arial" w:ascii="Arial" w:hAnsi="Arial"/>
          <w:b w:val="false"/>
          <w:bCs w:val="false"/>
          <w:color w:val="000000"/>
          <w:sz w:val="20"/>
          <w:szCs w:val="20"/>
          <w:shd w:fill="auto" w:val="clear"/>
        </w:rPr>
        <w:t xml:space="preserve">dministração realizar diligências para apurar propostas com indícios de inviabilidade, nos termos do art. 59, inciso IV, da Lei nº 14.133/2021. </w:t>
      </w:r>
      <w:r>
        <w:rPr>
          <w:rFonts w:eastAsia="Arial" w:cs="Arial" w:ascii="Arial" w:hAnsi="Arial"/>
          <w:b w:val="false"/>
          <w:bCs w:val="false"/>
          <w:color w:val="000000"/>
          <w:sz w:val="20"/>
          <w:szCs w:val="20"/>
          <w:shd w:fill="auto" w:val="clear"/>
        </w:rPr>
        <w:t>O Pleno do Tribunal de Contas do Estado do Ceará, por unanimidade dos votos,</w:t>
      </w:r>
      <w:r>
        <w:rPr>
          <w:rFonts w:eastAsia="Arial" w:cs="Arial" w:ascii="Arial" w:hAnsi="Arial"/>
          <w:b w:val="false"/>
          <w:bCs w:val="false"/>
          <w:color w:val="000000"/>
          <w:sz w:val="20"/>
          <w:szCs w:val="20"/>
          <w:shd w:fill="auto" w:val="clear"/>
        </w:rPr>
        <w:t xml:space="preserve"> homologou </w:t>
      </w:r>
      <w:r>
        <w:rPr>
          <w:rFonts w:eastAsia="Arial" w:cs="Arial" w:ascii="Arial" w:hAnsi="Arial"/>
          <w:b w:val="false"/>
          <w:bCs w:val="false"/>
          <w:color w:val="000000"/>
          <w:sz w:val="20"/>
          <w:szCs w:val="20"/>
          <w:shd w:fill="auto" w:val="clear"/>
        </w:rPr>
        <w:t xml:space="preserve">a </w:t>
      </w:r>
      <w:r>
        <w:rPr>
          <w:rFonts w:eastAsia="Arial" w:cs="Arial" w:ascii="Arial" w:hAnsi="Arial"/>
          <w:b w:val="false"/>
          <w:bCs w:val="false"/>
          <w:color w:val="000000"/>
          <w:sz w:val="20"/>
          <w:szCs w:val="20"/>
          <w:shd w:fill="auto" w:val="clear"/>
        </w:rPr>
        <w:t xml:space="preserve">medida cautelar determinando a suspensão do certame na fase em que se encontrava ou a paralisação de eventuais pagamentos, </w:t>
      </w:r>
      <w:r>
        <w:rPr>
          <w:rFonts w:eastAsia="Arial" w:cs="Arial" w:ascii="Arial" w:hAnsi="Arial"/>
          <w:b w:val="false"/>
          <w:bCs w:val="false"/>
          <w:color w:val="000000"/>
          <w:sz w:val="20"/>
          <w:szCs w:val="20"/>
          <w:shd w:fill="auto" w:val="clear"/>
        </w:rPr>
        <w:t>com fundamento no art. 21-A da LOTCE e art</w:t>
      </w:r>
      <w:r>
        <w:rPr>
          <w:rFonts w:eastAsia="Arial" w:cs="Arial" w:ascii="Arial" w:hAnsi="Arial"/>
          <w:b w:val="false"/>
          <w:bCs w:val="false"/>
          <w:color w:val="000000"/>
          <w:sz w:val="20"/>
          <w:szCs w:val="20"/>
          <w:shd w:fill="auto" w:val="clear"/>
        </w:rPr>
        <w:t>s</w:t>
      </w:r>
      <w:r>
        <w:rPr>
          <w:rFonts w:eastAsia="Arial" w:cs="Arial" w:ascii="Arial" w:hAnsi="Arial"/>
          <w:b w:val="false"/>
          <w:bCs w:val="false"/>
          <w:color w:val="000000"/>
          <w:sz w:val="20"/>
          <w:szCs w:val="20"/>
          <w:shd w:fill="auto" w:val="clear"/>
        </w:rPr>
        <w:t>. 41,</w:t>
      </w:r>
      <w:r>
        <w:rPr>
          <w:rFonts w:eastAsia="Arial" w:cs="Arial" w:ascii="Arial" w:hAnsi="Arial"/>
          <w:b w:val="false"/>
          <w:bCs w:val="false"/>
          <w:i/>
          <w:iCs/>
          <w:color w:val="000000"/>
          <w:sz w:val="20"/>
          <w:szCs w:val="20"/>
          <w:shd w:fill="auto" w:val="clear"/>
        </w:rPr>
        <w:t xml:space="preserve"> e </w:t>
      </w:r>
      <w:r>
        <w:rPr>
          <w:rFonts w:eastAsia="Arial" w:cs="Arial" w:ascii="Arial" w:hAnsi="Arial"/>
          <w:b w:val="false"/>
          <w:bCs w:val="false"/>
          <w:i w:val="false"/>
          <w:iCs w:val="false"/>
          <w:color w:val="000000"/>
          <w:sz w:val="20"/>
          <w:szCs w:val="20"/>
          <w:shd w:fill="auto" w:val="clear"/>
        </w:rPr>
        <w:t>42 do RITCE.</w:t>
      </w:r>
    </w:p>
    <w:p>
      <w:pPr>
        <w:pStyle w:val="BodyText"/>
        <w:spacing w:lineRule="auto" w:line="240" w:before="0" w:after="0"/>
        <w:jc w:val="both"/>
        <w:rPr>
          <w:rFonts w:ascii="Arial" w:hAnsi="Arial" w:eastAsia="Arial" w:cs="Arial"/>
          <w:b w:val="false"/>
          <w:bCs w:val="false"/>
          <w:color w:val="auto"/>
          <w:sz w:val="18"/>
          <w:szCs w:val="18"/>
          <w:shd w:fill="FFFFFF" w:val="clear"/>
        </w:rPr>
      </w:pPr>
      <w:r>
        <w:rPr>
          <w:rFonts w:eastAsia="Arial" w:cs="Arial" w:ascii="Arial" w:hAnsi="Arial"/>
          <w:b w:val="false"/>
          <w:bCs w:val="false"/>
          <w:color w:val="000000"/>
          <w:sz w:val="18"/>
          <w:szCs w:val="18"/>
          <w:shd w:fill="FFFFFF" w:val="clear"/>
        </w:rPr>
      </w:r>
    </w:p>
    <w:p>
      <w:pPr>
        <w:pStyle w:val="BodyText"/>
        <w:spacing w:lineRule="auto" w:line="240" w:before="0" w:after="0"/>
        <w:jc w:val="both"/>
        <w:rPr/>
      </w:pPr>
      <w:hyperlink r:id="rId25">
        <w:r>
          <w:rPr>
            <w:rStyle w:val="Hyperlink"/>
            <w:rFonts w:ascii="Arial" w:hAnsi="Arial"/>
            <w:color w:val="auto"/>
            <w:sz w:val="18"/>
            <w:szCs w:val="18"/>
            <w:u w:val="single"/>
          </w:rPr>
          <w:t xml:space="preserve">Processo n.º </w:t>
        </w:r>
        <w:r>
          <w:rPr>
            <w:rStyle w:val="Hyperlink"/>
            <w:rFonts w:ascii="Arial" w:hAnsi="Arial"/>
            <w:color w:val="auto"/>
            <w:sz w:val="18"/>
            <w:szCs w:val="18"/>
            <w:u w:val="single"/>
          </w:rPr>
          <w:t>15045/2026-0</w:t>
        </w:r>
      </w:hyperlink>
      <w:r>
        <w:rPr>
          <w:rFonts w:eastAsia="Arial" w:cs="Arial" w:ascii="Arial" w:hAnsi="Arial"/>
          <w:b w:val="false"/>
          <w:bCs w:val="false"/>
          <w:color w:val="000000"/>
          <w:sz w:val="18"/>
          <w:szCs w:val="18"/>
          <w:u w:val="single"/>
          <w:shd w:fill="FFFFFF" w:val="clear"/>
        </w:rPr>
        <w:t>.</w:t>
      </w:r>
      <w:r>
        <w:rPr>
          <w:rFonts w:eastAsia="Arial" w:cs="Arial" w:ascii="Arial" w:hAnsi="Arial"/>
          <w:b w:val="false"/>
          <w:bCs w:val="false"/>
          <w:color w:val="000000"/>
          <w:sz w:val="18"/>
          <w:szCs w:val="18"/>
          <w:u w:val="none"/>
          <w:shd w:fill="FFFFFF" w:val="clear"/>
        </w:rPr>
        <w:t xml:space="preserve">  Relator(a): Cons. Valdomiro Távora.  Sessão: Pleno de 2</w:t>
      </w:r>
      <w:r>
        <w:rPr>
          <w:rFonts w:eastAsia="Arial" w:cs="Arial" w:ascii="Arial" w:hAnsi="Arial"/>
          <w:b w:val="false"/>
          <w:bCs w:val="false"/>
          <w:color w:val="000000"/>
          <w:sz w:val="18"/>
          <w:szCs w:val="18"/>
          <w:u w:val="none"/>
          <w:shd w:fill="FFFFFF" w:val="clear"/>
        </w:rPr>
        <w:t>7</w:t>
      </w:r>
      <w:r>
        <w:rPr>
          <w:rFonts w:eastAsia="Arial" w:cs="Arial" w:ascii="Arial" w:hAnsi="Arial"/>
          <w:b w:val="false"/>
          <w:bCs w:val="false"/>
          <w:color w:val="000000"/>
          <w:sz w:val="18"/>
          <w:szCs w:val="18"/>
          <w:u w:val="none"/>
          <w:shd w:fill="FFFFFF" w:val="clear"/>
        </w:rPr>
        <w:t>/0</w:t>
      </w:r>
      <w:r>
        <w:rPr>
          <w:rFonts w:eastAsia="Arial" w:cs="Arial" w:ascii="Arial" w:hAnsi="Arial"/>
          <w:b w:val="false"/>
          <w:bCs w:val="false"/>
          <w:color w:val="000000"/>
          <w:sz w:val="18"/>
          <w:szCs w:val="18"/>
          <w:u w:val="none"/>
          <w:shd w:fill="FFFFFF" w:val="clear"/>
        </w:rPr>
        <w:t>7</w:t>
      </w:r>
      <w:r>
        <w:rPr>
          <w:rFonts w:eastAsia="Arial" w:cs="Arial" w:ascii="Arial" w:hAnsi="Arial"/>
          <w:b w:val="false"/>
          <w:bCs w:val="false"/>
          <w:color w:val="000000"/>
          <w:sz w:val="18"/>
          <w:szCs w:val="18"/>
          <w:u w:val="none"/>
          <w:shd w:fill="FFFFFF" w:val="clear"/>
        </w:rPr>
        <w:t xml:space="preserve">/2026.  Ata n.º </w:t>
      </w:r>
      <w:r>
        <w:rPr>
          <w:rFonts w:eastAsia="Arial" w:cs="Arial" w:ascii="Arial" w:hAnsi="Arial"/>
          <w:b w:val="false"/>
          <w:bCs w:val="false"/>
          <w:color w:val="000000"/>
          <w:sz w:val="18"/>
          <w:szCs w:val="18"/>
          <w:u w:val="none"/>
          <w:shd w:fill="FFFFFF" w:val="clear"/>
        </w:rPr>
        <w:t>276</w:t>
      </w:r>
      <w:r>
        <w:rPr>
          <w:rFonts w:eastAsia="Arial" w:cs="Arial" w:ascii="Arial" w:hAnsi="Arial"/>
          <w:b w:val="false"/>
          <w:bCs w:val="false"/>
          <w:color w:val="000000"/>
          <w:sz w:val="18"/>
          <w:szCs w:val="18"/>
          <w:u w:val="none"/>
          <w:shd w:fill="FFFFFF" w:val="clear"/>
        </w:rPr>
        <w:t xml:space="preserve">/2026.   DO: </w:t>
      </w:r>
      <w:r>
        <w:rPr>
          <w:rFonts w:eastAsia="Arial" w:cs="Arial" w:ascii="Arial" w:hAnsi="Arial"/>
          <w:b w:val="false"/>
          <w:bCs w:val="false"/>
          <w:color w:val="000000"/>
          <w:sz w:val="18"/>
          <w:szCs w:val="18"/>
          <w:u w:val="none"/>
          <w:shd w:fill="FFFFFF" w:val="clear"/>
        </w:rPr>
        <w:t>25</w:t>
      </w:r>
      <w:r>
        <w:rPr>
          <w:rFonts w:eastAsia="Arial" w:cs="Arial" w:ascii="Arial" w:hAnsi="Arial"/>
          <w:b w:val="false"/>
          <w:bCs w:val="false"/>
          <w:color w:val="000000"/>
          <w:sz w:val="18"/>
          <w:szCs w:val="18"/>
          <w:u w:val="none"/>
          <w:shd w:fill="FFFFFF" w:val="clear"/>
        </w:rPr>
        <w:t>/0</w:t>
      </w:r>
      <w:r>
        <w:rPr>
          <w:rFonts w:eastAsia="Arial" w:cs="Arial" w:ascii="Arial" w:hAnsi="Arial"/>
          <w:b w:val="false"/>
          <w:bCs w:val="false"/>
          <w:color w:val="000000"/>
          <w:sz w:val="18"/>
          <w:szCs w:val="18"/>
          <w:u w:val="none"/>
          <w:shd w:fill="FFFFFF" w:val="clear"/>
        </w:rPr>
        <w:t>8</w:t>
      </w:r>
      <w:r>
        <w:rPr>
          <w:rFonts w:eastAsia="Arial" w:cs="Arial" w:ascii="Arial" w:hAnsi="Arial"/>
          <w:b w:val="false"/>
          <w:bCs w:val="false"/>
          <w:color w:val="000000"/>
          <w:sz w:val="18"/>
          <w:szCs w:val="18"/>
          <w:u w:val="none"/>
          <w:shd w:fill="FFFFFF" w:val="clear"/>
        </w:rPr>
        <w:t>/2026.</w:t>
      </w:r>
    </w:p>
    <w:p>
      <w:pPr>
        <w:pStyle w:val="BodyText"/>
        <w:spacing w:lineRule="auto" w:line="240" w:before="0" w:after="0"/>
        <w:jc w:val="both"/>
        <w:rPr>
          <w:rFonts w:ascii="Arial" w:hAnsi="Arial"/>
          <w:color w:val="FF0000"/>
          <w:sz w:val="18"/>
          <w:szCs w:val="18"/>
        </w:rPr>
      </w:pPr>
      <w:r>
        <w:rPr>
          <w:rFonts w:ascii="Arial" w:hAnsi="Arial"/>
          <w:color w:val="FF0000"/>
          <w:sz w:val="18"/>
          <w:szCs w:val="18"/>
        </w:rPr>
        <w:drawing>
          <wp:anchor behindDoc="1" distT="0" distB="0" distL="0" distR="0" simplePos="0" locked="0" layoutInCell="1" allowOverlap="1" relativeHeight="21">
            <wp:simplePos x="0" y="0"/>
            <wp:positionH relativeFrom="column">
              <wp:posOffset>3810</wp:posOffset>
            </wp:positionH>
            <wp:positionV relativeFrom="paragraph">
              <wp:posOffset>100965</wp:posOffset>
            </wp:positionV>
            <wp:extent cx="6813550" cy="478155"/>
            <wp:effectExtent l="0" t="0" r="0" b="0"/>
            <wp:wrapNone/>
            <wp:docPr id="14" name="Figura7 Copia 4 Copia 1 Copia 1 Copia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7 Copia 4 Copia 1 Copia 1 Copia 1" descr="" title=""/>
                    <pic:cNvPicPr>
                      <a:picLocks noChangeAspect="1" noChangeArrowheads="1"/>
                    </pic:cNvPicPr>
                  </pic:nvPicPr>
                  <pic:blipFill>
                    <a:blip r:embed="rId26"/>
                    <a:srcRect l="-6" t="-135" r="-6" b="-135"/>
                    <a:stretch>
                      <a:fillRect/>
                    </a:stretch>
                  </pic:blipFill>
                  <pic:spPr bwMode="auto">
                    <a:xfrm>
                      <a:off x="0" y="0"/>
                      <a:ext cx="6813550" cy="478155"/>
                    </a:xfrm>
                    <a:prstGeom prst="rect">
                      <a:avLst/>
                    </a:prstGeom>
                  </pic:spPr>
                </pic:pic>
              </a:graphicData>
            </a:graphic>
          </wp:anchor>
        </w:drawing>
      </w:r>
    </w:p>
    <w:p>
      <w:pPr>
        <w:pStyle w:val="BodyText"/>
        <w:spacing w:lineRule="auto" w:line="240" w:before="0" w:after="0"/>
        <w:jc w:val="both"/>
        <w:rPr>
          <w:rFonts w:ascii="Arial" w:hAnsi="Arial"/>
          <w:b w:val="false"/>
          <w:bCs w:val="false"/>
          <w:color w:val="C9211E"/>
          <w:sz w:val="18"/>
          <w:szCs w:val="18"/>
        </w:rPr>
      </w:pPr>
      <w:r>
        <w:rPr>
          <w:rFonts w:ascii="Arial" w:hAnsi="Arial"/>
          <w:b w:val="false"/>
          <w:bCs w:val="false"/>
          <w:color w:val="C9211E"/>
          <w:sz w:val="18"/>
          <w:szCs w:val="18"/>
        </w:rPr>
      </w:r>
    </w:p>
    <w:p>
      <w:pPr>
        <w:pStyle w:val="Heading2"/>
        <w:spacing w:lineRule="auto" w:line="240" w:before="0" w:after="0"/>
        <w:ind w:hanging="0" w:start="0" w:end="0"/>
        <w:jc w:val="center"/>
        <w:rPr>
          <w:rFonts w:ascii="Arial" w:hAnsi="Arial" w:eastAsia="Arial" w:cs="Arial"/>
          <w:b/>
          <w:bCs/>
          <w:color w:val="FFFFFF"/>
          <w:sz w:val="22"/>
          <w:szCs w:val="22"/>
        </w:rPr>
      </w:pPr>
      <w:r>
        <w:rPr>
          <w:rFonts w:eastAsia="Arial" w:cs="Arial" w:ascii="Arial" w:hAnsi="Arial"/>
          <w:b/>
          <w:bCs/>
          <w:color w:val="FFFFFF"/>
          <w:sz w:val="22"/>
          <w:szCs w:val="22"/>
          <w:shd w:fill="auto" w:val="clear"/>
        </w:rPr>
        <w:t xml:space="preserve">ACÓRDÃO Nº </w:t>
      </w:r>
      <w:r>
        <w:rPr>
          <w:rFonts w:eastAsia="Arial" w:cs="Arial" w:ascii="Arial" w:hAnsi="Arial"/>
          <w:b/>
          <w:bCs/>
          <w:color w:val="FFFFFF"/>
          <w:sz w:val="22"/>
          <w:szCs w:val="22"/>
          <w:shd w:fill="auto" w:val="clear"/>
        </w:rPr>
        <w:t>6522/2026</w:t>
      </w:r>
    </w:p>
    <w:p>
      <w:pPr>
        <w:pStyle w:val="Normal"/>
        <w:spacing w:lineRule="auto" w:line="240" w:before="0" w:after="0"/>
        <w:ind w:hanging="0" w:start="0" w:end="0"/>
        <w:jc w:val="center"/>
        <w:rPr>
          <w:rFonts w:ascii="Arial" w:hAnsi="Arial" w:eastAsia="Arial" w:cs="Arial"/>
          <w:b/>
          <w:bCs/>
          <w:color w:val="FFFFFF"/>
          <w:sz w:val="18"/>
          <w:szCs w:val="18"/>
          <w:shd w:fill="auto" w:val="clear"/>
        </w:rPr>
      </w:pPr>
      <w:r>
        <w:rPr>
          <w:rFonts w:eastAsia="Arial" w:cs="Arial" w:ascii="Arial" w:hAnsi="Arial"/>
          <w:b/>
          <w:bCs/>
          <w:color w:val="FFFFFF"/>
          <w:sz w:val="18"/>
          <w:szCs w:val="18"/>
          <w:shd w:fill="auto" w:val="clear"/>
        </w:rPr>
      </w:r>
    </w:p>
    <w:p>
      <w:pPr>
        <w:pStyle w:val="Normal"/>
        <w:spacing w:lineRule="auto" w:line="240" w:before="0" w:after="0"/>
        <w:ind w:hanging="0" w:start="0" w:end="0"/>
        <w:jc w:val="center"/>
        <w:rPr>
          <w:rFonts w:ascii="Arial" w:hAnsi="Arial" w:eastAsia="Arial" w:cs="Arial"/>
          <w:b/>
          <w:bCs/>
          <w:color w:val="FFFFFF"/>
          <w:sz w:val="18"/>
          <w:szCs w:val="18"/>
          <w:shd w:fill="auto" w:val="clear"/>
        </w:rPr>
      </w:pPr>
      <w:r>
        <w:rPr>
          <w:rFonts w:eastAsia="Arial" w:cs="Arial" w:ascii="Arial" w:hAnsi="Arial"/>
          <w:b/>
          <w:bCs/>
          <w:color w:val="FFFFFF"/>
          <w:sz w:val="18"/>
          <w:szCs w:val="18"/>
          <w:shd w:fill="auto" w:val="clear"/>
        </w:rPr>
      </w:r>
    </w:p>
    <w:p>
      <w:pPr>
        <w:pStyle w:val="BodyText"/>
        <w:spacing w:lineRule="auto" w:line="240" w:before="0" w:after="0"/>
        <w:jc w:val="both"/>
        <w:rPr>
          <w:rFonts w:ascii="Arial" w:hAnsi="Arial"/>
          <w:b/>
          <w:bCs/>
          <w:color w:val="auto"/>
          <w:sz w:val="24"/>
          <w:szCs w:val="24"/>
        </w:rPr>
      </w:pPr>
      <w:r>
        <w:rPr>
          <w:rFonts w:ascii="Arial" w:hAnsi="Arial"/>
          <w:b/>
          <w:bCs/>
          <w:color w:val="auto"/>
          <w:sz w:val="24"/>
          <w:szCs w:val="24"/>
        </w:rPr>
        <w:t>REPRESENTAÇÃO.</w:t>
      </w:r>
      <w:r>
        <w:rPr>
          <w:rFonts w:ascii="Arial" w:hAnsi="Arial"/>
          <w:b/>
          <w:bCs/>
          <w:color w:val="auto"/>
          <w:sz w:val="24"/>
          <w:szCs w:val="24"/>
        </w:rPr>
        <w:t xml:space="preserve"> </w:t>
      </w:r>
      <w:r>
        <w:rPr>
          <w:rFonts w:ascii="Arial" w:hAnsi="Arial"/>
          <w:b/>
          <w:bCs/>
          <w:color w:val="auto"/>
          <w:sz w:val="24"/>
          <w:szCs w:val="24"/>
        </w:rPr>
        <w:t xml:space="preserve">AGRAVO. </w:t>
      </w:r>
      <w:r>
        <w:rPr>
          <w:rFonts w:ascii="Arial" w:hAnsi="Arial"/>
          <w:b/>
          <w:bCs/>
          <w:color w:val="auto"/>
          <w:sz w:val="24"/>
          <w:szCs w:val="24"/>
        </w:rPr>
        <w:t xml:space="preserve">MEDIDA CAUTELAR. INDEFERIMENTO. </w:t>
      </w:r>
      <w:r>
        <w:rPr>
          <w:rFonts w:ascii="Arial" w:hAnsi="Arial"/>
          <w:b/>
          <w:bCs/>
          <w:color w:val="auto"/>
          <w:sz w:val="24"/>
          <w:szCs w:val="24"/>
        </w:rPr>
        <w:t>CONCORRÊNCIA PÚBLICA</w:t>
      </w:r>
      <w:r>
        <w:rPr>
          <w:rFonts w:ascii="Arial" w:hAnsi="Arial"/>
          <w:b/>
          <w:bCs/>
          <w:color w:val="auto"/>
          <w:sz w:val="24"/>
          <w:szCs w:val="24"/>
        </w:rPr>
        <w:t xml:space="preserve">. </w:t>
      </w:r>
      <w:r>
        <w:rPr>
          <w:rFonts w:ascii="Arial" w:hAnsi="Arial"/>
          <w:b/>
          <w:bCs/>
          <w:color w:val="auto"/>
          <w:sz w:val="24"/>
          <w:szCs w:val="24"/>
        </w:rPr>
        <w:t xml:space="preserve">TÉCNICA E PREÇO. </w:t>
      </w:r>
      <w:r>
        <w:rPr>
          <w:rFonts w:ascii="Arial" w:hAnsi="Arial"/>
          <w:b/>
          <w:bCs/>
          <w:color w:val="auto"/>
          <w:sz w:val="24"/>
          <w:szCs w:val="24"/>
        </w:rPr>
        <w:t>INE</w:t>
      </w:r>
      <w:r>
        <w:rPr>
          <w:rFonts w:ascii="Arial" w:hAnsi="Arial"/>
          <w:b/>
          <w:bCs/>
          <w:color w:val="auto"/>
          <w:sz w:val="24"/>
          <w:szCs w:val="24"/>
        </w:rPr>
        <w:t xml:space="preserve">XEQUIBILIDADE DA PROPOSTA. JOGO DE PLANILHA. </w:t>
      </w:r>
      <w:r>
        <w:rPr>
          <w:rFonts w:ascii="Arial" w:hAnsi="Arial"/>
          <w:b/>
          <w:bCs/>
          <w:color w:val="auto"/>
          <w:sz w:val="24"/>
          <w:szCs w:val="24"/>
        </w:rPr>
        <w:t xml:space="preserve">NÃO </w:t>
      </w:r>
      <w:r>
        <w:rPr>
          <w:rFonts w:ascii="Arial" w:hAnsi="Arial"/>
          <w:b/>
          <w:bCs/>
          <w:color w:val="auto"/>
          <w:sz w:val="24"/>
          <w:szCs w:val="24"/>
        </w:rPr>
        <w:t>PROVIMENTO.</w:t>
      </w:r>
    </w:p>
    <w:p>
      <w:pPr>
        <w:pStyle w:val="BodyText"/>
        <w:spacing w:lineRule="auto" w:line="240" w:before="0" w:after="0"/>
        <w:jc w:val="both"/>
        <w:rPr>
          <w:rFonts w:ascii="Arial" w:hAnsi="Arial"/>
          <w:b/>
          <w:bCs/>
          <w:color w:val="auto"/>
          <w:sz w:val="18"/>
          <w:szCs w:val="18"/>
        </w:rPr>
      </w:pPr>
      <w:r>
        <w:rPr>
          <w:rFonts w:ascii="Arial" w:hAnsi="Arial"/>
          <w:b/>
          <w:bCs/>
          <w:color w:val="auto"/>
          <w:sz w:val="18"/>
          <w:szCs w:val="18"/>
        </w:rPr>
      </w:r>
    </w:p>
    <w:p>
      <w:pPr>
        <w:pStyle w:val="BodyText"/>
        <w:spacing w:lineRule="auto" w:line="240" w:before="0" w:after="0"/>
        <w:jc w:val="both"/>
        <w:rPr>
          <w:rFonts w:ascii="Arial" w:hAnsi="Arial" w:eastAsia="Arial" w:cs="Arial"/>
          <w:b w:val="false"/>
          <w:bCs w:val="false"/>
          <w:color w:val="auto"/>
          <w:sz w:val="20"/>
          <w:szCs w:val="20"/>
        </w:rPr>
      </w:pPr>
      <w:r>
        <w:rPr>
          <w:rFonts w:eastAsia="Arial" w:cs="Arial" w:ascii="Arial" w:hAnsi="Arial"/>
          <w:b w:val="false"/>
          <w:bCs w:val="false"/>
          <w:color w:val="000000"/>
          <w:sz w:val="20"/>
          <w:szCs w:val="20"/>
          <w:shd w:fill="auto" w:val="clear"/>
        </w:rPr>
        <w:t xml:space="preserve">Agravo interposto contra despacho singular que indeferiu pedido de medida cautelar formulado em sede de Representação, o qual buscava a suspensão de certame licitatório e de contrato administrativo destinado à prestação integrada de serviços de organização, planejamento, execução e suporte a eventos e ações promocionais. A </w:t>
      </w:r>
      <w:r>
        <w:rPr>
          <w:rFonts w:eastAsia="Arial" w:cs="Arial" w:ascii="Arial" w:hAnsi="Arial"/>
          <w:b w:val="false"/>
          <w:bCs w:val="false"/>
          <w:color w:val="000000"/>
          <w:sz w:val="20"/>
          <w:szCs w:val="20"/>
          <w:shd w:fill="auto" w:val="clear"/>
        </w:rPr>
        <w:t>R</w:t>
      </w:r>
      <w:r>
        <w:rPr>
          <w:rFonts w:eastAsia="Arial" w:cs="Arial" w:ascii="Arial" w:hAnsi="Arial"/>
          <w:b w:val="false"/>
          <w:bCs w:val="false"/>
          <w:color w:val="000000"/>
          <w:sz w:val="20"/>
          <w:szCs w:val="20"/>
          <w:shd w:fill="auto" w:val="clear"/>
        </w:rPr>
        <w:t xml:space="preserve">ecorrente alegou a inexequibilidade da proposta vencedora em razão da ocorrência de descontos expressivos em itens específicos da planilha de custos, sustentando a existência de um padrão sistêmico de subprecificação compatível com a prática de "jogo de planilha" e a falta de plausibilidade jurídica na decisão que indeferiu a cautelar sem prévia </w:t>
      </w:r>
      <w:r>
        <w:rPr>
          <w:rFonts w:eastAsia="Arial" w:cs="Arial" w:ascii="Arial" w:hAnsi="Arial"/>
          <w:b w:val="false"/>
          <w:bCs w:val="false"/>
          <w:color w:val="000000"/>
          <w:sz w:val="20"/>
          <w:szCs w:val="20"/>
          <w:shd w:fill="auto" w:val="clear"/>
        </w:rPr>
        <w:t>oitiva</w:t>
      </w:r>
      <w:r>
        <w:rPr>
          <w:rFonts w:eastAsia="Arial" w:cs="Arial" w:ascii="Arial" w:hAnsi="Arial"/>
          <w:b w:val="false"/>
          <w:bCs w:val="false"/>
          <w:color w:val="000000"/>
          <w:sz w:val="20"/>
          <w:szCs w:val="20"/>
          <w:shd w:fill="auto" w:val="clear"/>
        </w:rPr>
        <w:t xml:space="preserve">. </w:t>
      </w:r>
      <w:r>
        <w:rPr>
          <w:rFonts w:eastAsia="Arial" w:cs="Arial" w:ascii="Arial" w:hAnsi="Arial"/>
          <w:b w:val="false"/>
          <w:bCs w:val="false"/>
          <w:color w:val="000000"/>
          <w:sz w:val="20"/>
          <w:szCs w:val="20"/>
          <w:shd w:fill="auto" w:val="clear"/>
        </w:rPr>
        <w:t>O Tribunal entendeu que a</w:t>
      </w:r>
      <w:r>
        <w:rPr>
          <w:rFonts w:eastAsia="Arial" w:cs="Arial" w:ascii="Arial" w:hAnsi="Arial"/>
          <w:b w:val="false"/>
          <w:bCs w:val="false"/>
          <w:color w:val="000000"/>
          <w:sz w:val="20"/>
          <w:szCs w:val="20"/>
          <w:shd w:fill="auto" w:val="clear"/>
        </w:rPr>
        <w:t xml:space="preserve"> </w:t>
      </w:r>
      <w:r>
        <w:rPr>
          <w:rFonts w:eastAsia="Arial" w:cs="Arial" w:ascii="Arial" w:hAnsi="Arial"/>
          <w:b w:val="false"/>
          <w:bCs w:val="false"/>
          <w:color w:val="000000"/>
          <w:sz w:val="20"/>
          <w:szCs w:val="20"/>
          <w:shd w:fill="auto" w:val="clear"/>
        </w:rPr>
        <w:t xml:space="preserve">existência de descontos elevados em determinados itens da planilha não caracteriza, por si só, a inexequibilidade da proposta quando o valor global ofertado se posiciona acima do parâmetro estabelecido pelo instrumento convocatório como indicativo de inviabilidade econômica. Registrou-se a inaplicabilidade da presunção legal de inexequibilidade do art. 59, § 4º, da Lei nº 14.133/2021, a qual é restrita a obras e serviços de engenharia, ressaltando-se que, em contratações de serviços comuns ou especializados sem natureza de engenharia, a aferição da exequibilidade deve observar o valor global, a dinâmica de mercado, eventuais ganhos de escala e a composição seletiva de custos. </w:t>
      </w:r>
      <w:r>
        <w:rPr>
          <w:rFonts w:eastAsia="Arial" w:cs="Arial" w:ascii="Arial" w:hAnsi="Arial"/>
          <w:b w:val="false"/>
          <w:bCs w:val="false"/>
          <w:color w:val="000000"/>
          <w:sz w:val="20"/>
          <w:szCs w:val="20"/>
          <w:shd w:fill="auto" w:val="clear"/>
        </w:rPr>
        <w:t>A</w:t>
      </w:r>
      <w:r>
        <w:rPr>
          <w:rFonts w:eastAsia="Arial" w:cs="Arial" w:ascii="Arial" w:hAnsi="Arial"/>
          <w:b w:val="false"/>
          <w:bCs w:val="false"/>
          <w:color w:val="000000"/>
          <w:sz w:val="20"/>
          <w:szCs w:val="20"/>
          <w:shd w:fill="auto" w:val="clear"/>
        </w:rPr>
        <w:t xml:space="preserve"> alegação de </w:t>
      </w:r>
      <w:r>
        <w:rPr>
          <w:rFonts w:eastAsia="Arial" w:cs="Arial" w:ascii="Arial" w:hAnsi="Arial"/>
          <w:b w:val="false"/>
          <w:bCs w:val="false"/>
          <w:color w:val="000000"/>
          <w:sz w:val="20"/>
          <w:szCs w:val="20"/>
          <w:shd w:fill="auto" w:val="clear"/>
        </w:rPr>
        <w:t>que o</w:t>
      </w:r>
      <w:r>
        <w:rPr>
          <w:rFonts w:eastAsia="Arial" w:cs="Arial" w:ascii="Arial" w:hAnsi="Arial"/>
          <w:b w:val="false"/>
          <w:bCs w:val="false"/>
          <w:color w:val="000000"/>
          <w:sz w:val="20"/>
          <w:szCs w:val="20"/>
          <w:shd w:fill="auto" w:val="clear"/>
        </w:rPr>
        <w:t xml:space="preserve"> </w:t>
      </w:r>
      <w:r>
        <w:rPr>
          <w:rFonts w:eastAsia="Arial" w:cs="Arial" w:ascii="Arial" w:hAnsi="Arial"/>
          <w:b w:val="false"/>
          <w:bCs w:val="false"/>
          <w:color w:val="000000"/>
          <w:sz w:val="20"/>
          <w:szCs w:val="20"/>
          <w:shd w:fill="auto" w:val="clear"/>
        </w:rPr>
        <w:t>eventual</w:t>
      </w:r>
      <w:r>
        <w:rPr>
          <w:rFonts w:eastAsia="Arial" w:cs="Arial" w:ascii="Arial" w:hAnsi="Arial"/>
          <w:b w:val="false"/>
          <w:bCs w:val="false"/>
          <w:color w:val="000000"/>
          <w:sz w:val="20"/>
          <w:szCs w:val="20"/>
          <w:shd w:fill="auto" w:val="clear"/>
        </w:rPr>
        <w:t xml:space="preserve"> </w:t>
      </w:r>
      <w:r>
        <w:rPr>
          <w:rFonts w:eastAsia="Arial" w:cs="Arial" w:ascii="Arial" w:hAnsi="Arial"/>
          <w:b w:val="false"/>
          <w:bCs w:val="false"/>
          <w:color w:val="000000"/>
          <w:sz w:val="20"/>
          <w:szCs w:val="20"/>
          <w:shd w:fill="auto" w:val="clear"/>
        </w:rPr>
        <w:t xml:space="preserve">"jogo de planilha" demanda a comprovação concreta de distorção na equação econômico-financeira contratual </w:t>
      </w:r>
      <w:r>
        <w:rPr>
          <w:rFonts w:eastAsia="Arial" w:cs="Arial" w:ascii="Arial" w:hAnsi="Arial"/>
          <w:b w:val="false"/>
          <w:bCs w:val="false"/>
          <w:color w:val="000000"/>
          <w:sz w:val="20"/>
          <w:szCs w:val="20"/>
          <w:shd w:fill="auto" w:val="clear"/>
        </w:rPr>
        <w:t>não foi acolhida</w:t>
      </w:r>
      <w:r>
        <w:rPr>
          <w:rFonts w:eastAsia="Arial" w:cs="Arial" w:ascii="Arial" w:hAnsi="Arial"/>
          <w:b w:val="false"/>
          <w:bCs w:val="false"/>
          <w:color w:val="000000"/>
          <w:sz w:val="20"/>
          <w:szCs w:val="20"/>
          <w:shd w:fill="auto" w:val="clear"/>
        </w:rPr>
        <w:t xml:space="preserve">, </w:t>
      </w:r>
      <w:r>
        <w:rPr>
          <w:rFonts w:eastAsia="Arial" w:cs="Arial" w:ascii="Arial" w:hAnsi="Arial"/>
          <w:b w:val="false"/>
          <w:bCs w:val="false"/>
          <w:color w:val="000000"/>
          <w:sz w:val="20"/>
          <w:szCs w:val="20"/>
          <w:shd w:fill="auto" w:val="clear"/>
        </w:rPr>
        <w:t>compreendendo-se</w:t>
      </w:r>
      <w:r>
        <w:rPr>
          <w:rFonts w:eastAsia="Arial" w:cs="Arial" w:ascii="Arial" w:hAnsi="Arial"/>
          <w:b w:val="false"/>
          <w:bCs w:val="false"/>
          <w:color w:val="000000"/>
          <w:sz w:val="20"/>
          <w:szCs w:val="20"/>
          <w:shd w:fill="auto" w:val="clear"/>
        </w:rPr>
        <w:t xml:space="preserve"> </w:t>
      </w:r>
      <w:r>
        <w:rPr>
          <w:rFonts w:eastAsia="Arial" w:cs="Arial" w:ascii="Arial" w:hAnsi="Arial"/>
          <w:b w:val="false"/>
          <w:bCs w:val="false"/>
          <w:color w:val="000000"/>
          <w:sz w:val="20"/>
          <w:szCs w:val="20"/>
          <w:shd w:fill="auto" w:val="clear"/>
        </w:rPr>
        <w:t>pel</w:t>
      </w:r>
      <w:r>
        <w:rPr>
          <w:rFonts w:eastAsia="Arial" w:cs="Arial" w:ascii="Arial" w:hAnsi="Arial"/>
          <w:b w:val="false"/>
          <w:bCs w:val="false"/>
          <w:color w:val="000000"/>
          <w:sz w:val="20"/>
          <w:szCs w:val="20"/>
          <w:shd w:fill="auto" w:val="clear"/>
        </w:rPr>
        <w:t xml:space="preserve">a necessidade de aprofundamento da instrução, </w:t>
      </w:r>
      <w:r>
        <w:rPr>
          <w:rFonts w:eastAsia="Arial" w:cs="Arial" w:ascii="Arial" w:hAnsi="Arial"/>
          <w:b w:val="false"/>
          <w:bCs w:val="false"/>
          <w:color w:val="000000"/>
          <w:sz w:val="20"/>
          <w:szCs w:val="20"/>
          <w:shd w:fill="auto" w:val="clear"/>
        </w:rPr>
        <w:t xml:space="preserve">uma vez que </w:t>
      </w:r>
      <w:r>
        <w:rPr>
          <w:rFonts w:eastAsia="Arial" w:cs="Arial" w:ascii="Arial" w:hAnsi="Arial"/>
          <w:b w:val="false"/>
          <w:bCs w:val="false"/>
          <w:color w:val="000000"/>
          <w:sz w:val="20"/>
          <w:szCs w:val="20"/>
          <w:shd w:fill="auto" w:val="clear"/>
        </w:rPr>
        <w:t xml:space="preserve">a </w:t>
      </w:r>
      <w:r>
        <w:rPr>
          <w:rFonts w:eastAsia="Arial" w:cs="Arial" w:ascii="Arial" w:hAnsi="Arial"/>
          <w:b w:val="false"/>
          <w:bCs w:val="false"/>
          <w:color w:val="000000"/>
          <w:sz w:val="20"/>
          <w:szCs w:val="20"/>
          <w:shd w:fill="auto" w:val="clear"/>
        </w:rPr>
        <w:t xml:space="preserve">adoção </w:t>
      </w:r>
      <w:r>
        <w:rPr>
          <w:rFonts w:eastAsia="Arial" w:cs="Arial" w:ascii="Arial" w:hAnsi="Arial"/>
          <w:b w:val="false"/>
          <w:bCs w:val="false"/>
          <w:color w:val="000000"/>
          <w:sz w:val="20"/>
          <w:szCs w:val="20"/>
          <w:shd w:fill="auto" w:val="clear"/>
        </w:rPr>
        <w:t xml:space="preserve">de tutela cautelar exige prova inequívoca de ilegalidade manifesta, antieconomicidade flagrante ou risco concreto à execução do objeto. </w:t>
      </w:r>
      <w:r>
        <w:rPr>
          <w:rFonts w:eastAsia="Arial" w:cs="Arial" w:ascii="Arial" w:hAnsi="Arial"/>
          <w:b w:val="false"/>
          <w:bCs w:val="false"/>
          <w:color w:val="000000"/>
          <w:sz w:val="20"/>
          <w:szCs w:val="20"/>
          <w:shd w:fill="auto" w:val="clear"/>
        </w:rPr>
        <w:t>O Pleno do</w:t>
      </w:r>
      <w:r>
        <w:rPr>
          <w:rFonts w:eastAsia="Arial" w:cs="Arial" w:ascii="Arial" w:hAnsi="Arial"/>
          <w:b w:val="false"/>
          <w:bCs w:val="false"/>
          <w:color w:val="000000"/>
          <w:sz w:val="20"/>
          <w:szCs w:val="20"/>
          <w:shd w:fill="auto" w:val="clear"/>
        </w:rPr>
        <w:t xml:space="preserve"> Tribunal de Contas </w:t>
      </w:r>
      <w:r>
        <w:rPr>
          <w:rFonts w:eastAsia="Arial" w:cs="Arial" w:ascii="Arial" w:hAnsi="Arial"/>
          <w:b w:val="false"/>
          <w:bCs w:val="false"/>
          <w:color w:val="000000"/>
          <w:sz w:val="20"/>
          <w:szCs w:val="20"/>
          <w:shd w:fill="auto" w:val="clear"/>
        </w:rPr>
        <w:t>do Estado do Ceará, por unanimidade dos votos,</w:t>
      </w:r>
      <w:r>
        <w:rPr>
          <w:rFonts w:eastAsia="Arial" w:cs="Arial" w:ascii="Arial" w:hAnsi="Arial"/>
          <w:b w:val="false"/>
          <w:bCs w:val="false"/>
          <w:color w:val="000000"/>
          <w:sz w:val="20"/>
          <w:szCs w:val="20"/>
          <w:shd w:fill="auto" w:val="clear"/>
        </w:rPr>
        <w:t xml:space="preserve"> negou provimento ao </w:t>
      </w:r>
      <w:r>
        <w:rPr>
          <w:rFonts w:eastAsia="Arial" w:cs="Arial" w:ascii="Arial" w:hAnsi="Arial"/>
          <w:b w:val="false"/>
          <w:bCs w:val="false"/>
          <w:color w:val="000000"/>
          <w:sz w:val="20"/>
          <w:szCs w:val="20"/>
          <w:shd w:fill="auto" w:val="clear"/>
        </w:rPr>
        <w:t>A</w:t>
      </w:r>
      <w:r>
        <w:rPr>
          <w:rFonts w:eastAsia="Arial" w:cs="Arial" w:ascii="Arial" w:hAnsi="Arial"/>
          <w:b w:val="false"/>
          <w:bCs w:val="false"/>
          <w:color w:val="000000"/>
          <w:sz w:val="20"/>
          <w:szCs w:val="20"/>
          <w:shd w:fill="auto" w:val="clear"/>
        </w:rPr>
        <w:t xml:space="preserve">gravo, mantendo integralmente o indeferimento da tutela acautelatória. </w:t>
      </w:r>
    </w:p>
    <w:p>
      <w:pPr>
        <w:pStyle w:val="BodyText"/>
        <w:spacing w:lineRule="auto" w:line="240" w:before="0" w:after="0"/>
        <w:jc w:val="both"/>
        <w:rPr>
          <w:rFonts w:ascii="Arial" w:hAnsi="Arial" w:eastAsia="Arial" w:cs="Arial"/>
          <w:b w:val="false"/>
          <w:bCs w:val="false"/>
          <w:color w:val="auto"/>
          <w:sz w:val="18"/>
          <w:szCs w:val="18"/>
          <w:shd w:fill="FFFFFF" w:val="clear"/>
        </w:rPr>
      </w:pPr>
      <w:r>
        <w:rPr>
          <w:rFonts w:eastAsia="Arial" w:cs="Arial" w:ascii="Arial" w:hAnsi="Arial"/>
          <w:b w:val="false"/>
          <w:bCs w:val="false"/>
          <w:color w:val="000000"/>
          <w:sz w:val="18"/>
          <w:szCs w:val="18"/>
          <w:shd w:fill="FFFFFF" w:val="clear"/>
        </w:rPr>
      </w:r>
    </w:p>
    <w:p>
      <w:pPr>
        <w:pStyle w:val="BodyText"/>
        <w:spacing w:lineRule="auto" w:line="240" w:before="0" w:after="0"/>
        <w:jc w:val="both"/>
        <w:rPr/>
      </w:pPr>
      <w:hyperlink r:id="rId27">
        <w:r>
          <w:rPr>
            <w:rStyle w:val="Hyperlink"/>
            <w:rFonts w:ascii="Arial" w:hAnsi="Arial"/>
            <w:color w:val="auto"/>
            <w:sz w:val="18"/>
            <w:szCs w:val="18"/>
            <w:u w:val="single"/>
          </w:rPr>
          <w:t xml:space="preserve">Processo n.º </w:t>
        </w:r>
        <w:r>
          <w:rPr>
            <w:rStyle w:val="Hyperlink"/>
            <w:rFonts w:ascii="Arial" w:hAnsi="Arial"/>
            <w:color w:val="auto"/>
            <w:sz w:val="18"/>
            <w:szCs w:val="18"/>
            <w:u w:val="single"/>
          </w:rPr>
          <w:t>11049/2026-9</w:t>
        </w:r>
      </w:hyperlink>
      <w:r>
        <w:rPr>
          <w:rFonts w:eastAsia="Arial" w:cs="Arial" w:ascii="Arial" w:hAnsi="Arial"/>
          <w:b w:val="false"/>
          <w:bCs w:val="false"/>
          <w:color w:val="000000"/>
          <w:sz w:val="18"/>
          <w:szCs w:val="18"/>
          <w:u w:val="single"/>
          <w:shd w:fill="FFFFFF" w:val="clear"/>
        </w:rPr>
        <w:t>.</w:t>
      </w:r>
      <w:r>
        <w:rPr>
          <w:rFonts w:eastAsia="Arial" w:cs="Arial" w:ascii="Arial" w:hAnsi="Arial"/>
          <w:b w:val="false"/>
          <w:bCs w:val="false"/>
          <w:color w:val="000000"/>
          <w:sz w:val="18"/>
          <w:szCs w:val="18"/>
          <w:u w:val="none"/>
          <w:shd w:fill="FFFFFF" w:val="clear"/>
        </w:rPr>
        <w:t xml:space="preserve">  Relator(a): Cons. Edilberto Pontes.   Sessão: Pleno de </w:t>
      </w:r>
      <w:r>
        <w:rPr>
          <w:rFonts w:eastAsia="Arial" w:cs="Arial" w:ascii="Arial" w:hAnsi="Arial"/>
          <w:b w:val="false"/>
          <w:bCs w:val="false"/>
          <w:color w:val="000000"/>
          <w:sz w:val="18"/>
          <w:szCs w:val="18"/>
          <w:u w:val="none"/>
          <w:shd w:fill="FFFFFF" w:val="clear"/>
        </w:rPr>
        <w:t>06</w:t>
      </w:r>
      <w:r>
        <w:rPr>
          <w:rFonts w:eastAsia="Arial" w:cs="Arial" w:ascii="Arial" w:hAnsi="Arial"/>
          <w:b w:val="false"/>
          <w:bCs w:val="false"/>
          <w:color w:val="000000"/>
          <w:sz w:val="18"/>
          <w:szCs w:val="18"/>
          <w:u w:val="none"/>
          <w:shd w:fill="FFFFFF" w:val="clear"/>
        </w:rPr>
        <w:t>/0</w:t>
      </w:r>
      <w:r>
        <w:rPr>
          <w:rFonts w:eastAsia="Arial" w:cs="Arial" w:ascii="Arial" w:hAnsi="Arial"/>
          <w:b w:val="false"/>
          <w:bCs w:val="false"/>
          <w:color w:val="000000"/>
          <w:sz w:val="18"/>
          <w:szCs w:val="18"/>
          <w:u w:val="none"/>
          <w:shd w:fill="FFFFFF" w:val="clear"/>
        </w:rPr>
        <w:t>7</w:t>
      </w:r>
      <w:r>
        <w:rPr>
          <w:rFonts w:eastAsia="Arial" w:cs="Arial" w:ascii="Arial" w:hAnsi="Arial"/>
          <w:b w:val="false"/>
          <w:bCs w:val="false"/>
          <w:color w:val="000000"/>
          <w:sz w:val="18"/>
          <w:szCs w:val="18"/>
          <w:u w:val="none"/>
          <w:shd w:fill="FFFFFF" w:val="clear"/>
        </w:rPr>
        <w:t xml:space="preserve">/2026.  Ata n.º </w:t>
      </w:r>
      <w:r>
        <w:rPr>
          <w:rFonts w:eastAsia="Arial" w:cs="Arial" w:ascii="Arial" w:hAnsi="Arial"/>
          <w:b w:val="false"/>
          <w:bCs w:val="false"/>
          <w:color w:val="000000"/>
          <w:sz w:val="18"/>
          <w:szCs w:val="18"/>
          <w:u w:val="none"/>
          <w:shd w:fill="FFFFFF" w:val="clear"/>
        </w:rPr>
        <w:t>274</w:t>
      </w:r>
      <w:r>
        <w:rPr>
          <w:rFonts w:eastAsia="Arial" w:cs="Arial" w:ascii="Arial" w:hAnsi="Arial"/>
          <w:b w:val="false"/>
          <w:bCs w:val="false"/>
          <w:color w:val="000000"/>
          <w:sz w:val="18"/>
          <w:szCs w:val="18"/>
          <w:u w:val="none"/>
          <w:shd w:fill="FFFFFF" w:val="clear"/>
        </w:rPr>
        <w:t xml:space="preserve">/2026.    DO: </w:t>
      </w:r>
      <w:r>
        <w:rPr>
          <w:rFonts w:eastAsia="Arial" w:cs="Arial" w:ascii="Arial" w:hAnsi="Arial"/>
          <w:b w:val="false"/>
          <w:bCs w:val="false"/>
          <w:color w:val="000000"/>
          <w:sz w:val="18"/>
          <w:szCs w:val="18"/>
          <w:u w:val="none"/>
          <w:shd w:fill="FFFFFF" w:val="clear"/>
        </w:rPr>
        <w:t>28</w:t>
      </w:r>
      <w:r>
        <w:rPr>
          <w:rFonts w:eastAsia="Arial" w:cs="Arial" w:ascii="Arial" w:hAnsi="Arial"/>
          <w:b w:val="false"/>
          <w:bCs w:val="false"/>
          <w:color w:val="000000"/>
          <w:sz w:val="18"/>
          <w:szCs w:val="18"/>
          <w:u w:val="none"/>
          <w:shd w:fill="FFFFFF" w:val="clear"/>
        </w:rPr>
        <w:t>/0</w:t>
      </w:r>
      <w:r>
        <w:rPr>
          <w:rFonts w:eastAsia="Arial" w:cs="Arial" w:ascii="Arial" w:hAnsi="Arial"/>
          <w:b w:val="false"/>
          <w:bCs w:val="false"/>
          <w:color w:val="000000"/>
          <w:sz w:val="18"/>
          <w:szCs w:val="18"/>
          <w:u w:val="none"/>
          <w:shd w:fill="FFFFFF" w:val="clear"/>
        </w:rPr>
        <w:t>7</w:t>
      </w:r>
      <w:r>
        <w:rPr>
          <w:rFonts w:eastAsia="Arial" w:cs="Arial" w:ascii="Arial" w:hAnsi="Arial"/>
          <w:b w:val="false"/>
          <w:bCs w:val="false"/>
          <w:color w:val="000000"/>
          <w:sz w:val="18"/>
          <w:szCs w:val="18"/>
          <w:u w:val="none"/>
          <w:shd w:fill="FFFFFF" w:val="clear"/>
        </w:rPr>
        <w:t>/2026.</w:t>
      </w:r>
      <w:bookmarkStart w:id="0" w:name="_vt700hyn96wl"/>
      <w:bookmarkStart w:id="1" w:name="_vt700hyn96wl_Copia_1"/>
      <w:bookmarkEnd w:id="0"/>
      <w:bookmarkEnd w:id="1"/>
    </w:p>
    <w:sectPr>
      <w:footerReference w:type="default" r:id="rId28"/>
      <w:type w:val="nextPage"/>
      <w:pgSz w:w="11906" w:h="16838"/>
      <w:pgMar w:left="580" w:right="586" w:gutter="0" w:header="0" w:top="1700" w:footer="907" w:bottom="1434"/>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characterSet="windows-1252"/>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libri">
    <w:charset w:val="00" w:characterSet="windows-1252"/>
    <w:family w:val="roman"/>
    <w:pitch w:val="variable"/>
    <w:embedRegular r:id="rId14" w:fontKey="{0E014A78-CABC-4EF0-12AC-5CD89AEFDE0E}"/>
  </w:font>
  <w:font w:name="Liberation Sans">
    <w:altName w:val="Arial"/>
    <w:charset w:val="00" w:characterSet="windows-1252"/>
    <w:family w:val="roman"/>
    <w:pitch w:val="variable"/>
    <w:embedRegular r:id="rId15" w:fontKey="{0F014A78-CABC-4EF0-12AC-5CD89AEFDE0F}"/>
  </w:font>
  <w:font w:name="Georgia">
    <w:charset w:val="00" w:characterSet="windows-1252"/>
    <w:family w:val="roman"/>
    <w:pitch w:val="variable"/>
    <w:embedRegular r:id="rId16" w:fontKey="{10014A78-CABC-4EF0-12AC-5CD89AEFDE10}"/>
    <w:embedBold r:id="rId17" w:fontKey="{11014A78-CABC-4EF0-12AC-5CD89AEFDE11}"/>
    <w:embedItalic r:id="rId18" w:fontKey="{12014A78-CABC-4EF0-12AC-5CD89AEFDE12}"/>
    <w:embedBoldItalic r:id="rId19" w:fontKey="{13014A78-CABC-4EF0-12AC-5CD89AEFDE13}"/>
  </w:font>
  <w:font w:name="Arial">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1" allowOverlap="1" relativeHeight="7">
          <wp:simplePos x="0" y="0"/>
          <wp:positionH relativeFrom="column">
            <wp:posOffset>-368300</wp:posOffset>
          </wp:positionH>
          <wp:positionV relativeFrom="paragraph">
            <wp:posOffset>172085</wp:posOffset>
          </wp:positionV>
          <wp:extent cx="7560310" cy="583565"/>
          <wp:effectExtent l="0" t="0" r="0" b="0"/>
          <wp:wrapNone/>
          <wp:docPr id="15" name="image3.png Copia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png Copia 1" descr="" title=""/>
                  <pic:cNvPicPr>
                    <a:picLocks noChangeAspect="1" noChangeArrowheads="1"/>
                  </pic:cNvPicPr>
                </pic:nvPicPr>
                <pic:blipFill>
                  <a:blip r:embed="rId1"/>
                  <a:srcRect l="-5" t="-66" r="-5" b="-66"/>
                  <a:stretch>
                    <a:fillRect/>
                  </a:stretch>
                </pic:blipFill>
                <pic:spPr bwMode="auto">
                  <a:xfrm>
                    <a:off x="0" y="0"/>
                    <a:ext cx="7560310" cy="583565"/>
                  </a:xfrm>
                  <a:prstGeom prst="rect">
                    <a:avLst/>
                  </a:prstGeom>
                </pic:spPr>
              </pic:pic>
            </a:graphicData>
          </a:graphic>
        </wp:anchor>
      </w:drawing>
    </w:r>
  </w:p>
</w:ftr>
</file>

<file path=word/settings.xml><?xml version="1.0" encoding="utf-8"?>
<w:settings xmlns:w="http://schemas.openxmlformats.org/wordprocessingml/2006/main">
  <w:zoom w:percent="140"/>
  <w:embedTrueTypeFonts/>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pt-BR" w:eastAsia="pt-BR"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start"/>
    </w:pPr>
    <w:rPr>
      <w:rFonts w:ascii="Calibri" w:hAnsi="Calibri" w:eastAsia="Calibri" w:cs="Calibri"/>
      <w:color w:val="auto"/>
      <w:kern w:val="0"/>
      <w:sz w:val="20"/>
      <w:szCs w:val="20"/>
      <w:lang w:val="pt-BR" w:eastAsia="pt-BR" w:bidi="ar-SA"/>
    </w:rPr>
  </w:style>
  <w:style w:type="paragraph" w:styleId="Heading1">
    <w:name w:val="Heading 1"/>
    <w:basedOn w:val="Normal"/>
    <w:next w:val="Normal"/>
    <w:qFormat/>
    <w:pPr>
      <w:keepNext w:val="true"/>
      <w:numPr>
        <w:ilvl w:val="0"/>
        <w:numId w:val="0"/>
      </w:numPr>
      <w:spacing w:before="240" w:after="120"/>
      <w:outlineLvl w:val="0"/>
    </w:pPr>
    <w:rPr>
      <w:rFonts w:ascii="Liberation Serif" w:hAnsi="Liberation Serif" w:eastAsia="Liberation Serif" w:cs="Liberation Serif"/>
      <w:b/>
      <w:bCs/>
      <w:sz w:val="48"/>
      <w:szCs w:val="48"/>
    </w:rPr>
  </w:style>
  <w:style w:type="paragraph" w:styleId="Heading2">
    <w:name w:val="Heading 2"/>
    <w:basedOn w:val="Normal"/>
    <w:next w:val="Normal"/>
    <w:qFormat/>
    <w:pPr>
      <w:keepNext w:val="true"/>
      <w:numPr>
        <w:ilvl w:val="0"/>
        <w:numId w:val="0"/>
      </w:numPr>
      <w:spacing w:before="200" w:after="120"/>
      <w:outlineLvl w:val="1"/>
    </w:pPr>
    <w:rPr>
      <w:rFonts w:ascii="Liberation Serif" w:hAnsi="Liberation Serif" w:eastAsia="Liberation Serif" w:cs="Liberation Serif"/>
      <w:b/>
      <w:bCs/>
      <w:sz w:val="36"/>
      <w:szCs w:val="36"/>
    </w:rPr>
  </w:style>
  <w:style w:type="paragraph" w:styleId="Heading3">
    <w:name w:val="Heading 3"/>
    <w:basedOn w:val="Normal"/>
    <w:next w:val="Normal"/>
    <w:qFormat/>
    <w:pPr>
      <w:keepNext w:val="true"/>
      <w:numPr>
        <w:ilvl w:val="0"/>
        <w:numId w:val="0"/>
      </w:numPr>
      <w:spacing w:before="140" w:after="120"/>
      <w:outlineLvl w:val="2"/>
    </w:pPr>
    <w:rPr>
      <w:rFonts w:ascii="Liberation Serif" w:hAnsi="Liberation Serif" w:eastAsia="Liberation Serif" w:cs="Liberation Serif"/>
      <w:b/>
      <w:bCs/>
      <w:sz w:val="28"/>
      <w:szCs w:val="28"/>
    </w:rPr>
  </w:style>
  <w:style w:type="paragraph" w:styleId="Heading4">
    <w:name w:val="Heading 4"/>
    <w:basedOn w:val="Normal"/>
    <w:next w:val="Normal"/>
    <w:qFormat/>
    <w:pPr>
      <w:keepNext w:val="true"/>
      <w:keepLines/>
      <w:numPr>
        <w:ilvl w:val="0"/>
        <w:numId w:val="0"/>
      </w:numPr>
      <w:spacing w:before="240" w:after="40"/>
      <w:outlineLvl w:val="3"/>
    </w:pPr>
    <w:rPr>
      <w:b/>
      <w:bCs/>
      <w:sz w:val="24"/>
      <w:szCs w:val="24"/>
    </w:rPr>
  </w:style>
  <w:style w:type="paragraph" w:styleId="Heading5">
    <w:name w:val="Heading 5"/>
    <w:basedOn w:val="Normal"/>
    <w:next w:val="Normal"/>
    <w:qFormat/>
    <w:pPr>
      <w:keepNext w:val="true"/>
      <w:keepLines/>
      <w:numPr>
        <w:ilvl w:val="0"/>
        <w:numId w:val="0"/>
      </w:numPr>
      <w:spacing w:before="220" w:after="40"/>
      <w:outlineLvl w:val="4"/>
    </w:pPr>
    <w:rPr>
      <w:b/>
      <w:bCs/>
      <w:sz w:val="22"/>
      <w:szCs w:val="22"/>
    </w:rPr>
  </w:style>
  <w:style w:type="paragraph" w:styleId="Heading6">
    <w:name w:val="Heading 6"/>
    <w:basedOn w:val="Normal"/>
    <w:next w:val="Normal"/>
    <w:qFormat/>
    <w:pPr>
      <w:keepNext w:val="true"/>
      <w:keepLines/>
      <w:numPr>
        <w:ilvl w:val="0"/>
        <w:numId w:val="0"/>
      </w:numPr>
      <w:spacing w:before="200" w:after="40"/>
      <w:outlineLvl w:val="5"/>
    </w:pPr>
    <w:rPr>
      <w:b/>
      <w:bCs/>
    </w:rPr>
  </w:style>
  <w:style w:type="character" w:styleId="DefaultParagraphFont">
    <w:name w:val="Default Paragraph Font"/>
    <w:qFormat/>
    <w:rPr/>
  </w:style>
  <w:style w:type="character" w:styleId="Hyperlink">
    <w:name w:val="Hyperlink"/>
    <w:rPr>
      <w:color w:val="000080"/>
      <w:u w:val="single"/>
    </w:rPr>
  </w:style>
  <w:style w:type="character" w:styleId="Strong">
    <w:name w:val="Strong"/>
    <w:qFormat/>
    <w:rPr>
      <w:b/>
      <w:bCs/>
    </w:rPr>
  </w:style>
  <w:style w:type="character" w:styleId="FollowedHyperlink">
    <w:name w:val="FollowedHyperlink"/>
    <w:rPr>
      <w:color w:val="80000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itle">
    <w:name w:val="Title"/>
    <w:basedOn w:val="Normal"/>
    <w:next w:val="Normal"/>
    <w:qFormat/>
    <w:pPr>
      <w:keepNext w:val="true"/>
      <w:keepLines/>
      <w:spacing w:before="480" w:after="120"/>
    </w:pPr>
    <w:rPr>
      <w:b/>
      <w:bCs/>
      <w:sz w:val="72"/>
      <w:szCs w:val="72"/>
    </w:rPr>
  </w:style>
  <w:style w:type="paragraph" w:styleId="Subtitle">
    <w:name w:val="Subtitle"/>
    <w:basedOn w:val="Normal"/>
    <w:next w:val="Normal"/>
    <w:qFormat/>
    <w:pPr>
      <w:keepNext w:val="true"/>
      <w:keepLines/>
      <w:spacing w:before="360" w:after="80"/>
    </w:pPr>
    <w:rPr>
      <w:rFonts w:ascii="Georgia" w:hAnsi="Georgia" w:eastAsia="Georgia" w:cs="Georgia"/>
      <w:i/>
      <w:iCs/>
      <w:color w:val="666666"/>
      <w:sz w:val="48"/>
      <w:szCs w:val="48"/>
    </w:rPr>
  </w:style>
  <w:style w:type="paragraph" w:styleId="Cabealhoerodap">
    <w:name w:val="Cabeçalho e rodapé"/>
    <w:basedOn w:val="Normal"/>
    <w:qFormat/>
    <w:pPr/>
    <w:rPr/>
  </w:style>
  <w:style w:type="paragraph" w:styleId="Header">
    <w:name w:val="Header"/>
    <w:basedOn w:val="Cabealhoerodap"/>
    <w:pPr/>
    <w:rPr/>
  </w:style>
  <w:style w:type="paragraph" w:styleId="Footer">
    <w:name w:val="Footer"/>
    <w:basedOn w:val="Cabealhoerodap"/>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hyperlink" Target="https://www.tce.ce.gov.br/contexto-consulta-geral?texto=06669/2025-7&amp;tipo=processos" TargetMode="External"/><Relationship Id="rId6" Type="http://schemas.openxmlformats.org/officeDocument/2006/relationships/image" Target="media/image4.jpeg"/><Relationship Id="rId7" Type="http://schemas.openxmlformats.org/officeDocument/2006/relationships/hyperlink" Target="https://www.tce.ce.gov.br/contexto-consulta-geral?texto=28741/2021-5&amp;tipo=processos" TargetMode="External"/><Relationship Id="rId8" Type="http://schemas.openxmlformats.org/officeDocument/2006/relationships/image" Target="media/image4.jpeg"/><Relationship Id="rId9" Type="http://schemas.openxmlformats.org/officeDocument/2006/relationships/hyperlink" Target="https://www.tce.ce.gov.br/contexto-consulta-geral?texto=03909/2024-1&amp;tipo=processos" TargetMode="External"/><Relationship Id="rId10" Type="http://schemas.openxmlformats.org/officeDocument/2006/relationships/image" Target="media/image4.jpeg"/><Relationship Id="rId11" Type="http://schemas.openxmlformats.org/officeDocument/2006/relationships/hyperlink" Target="https://www.tce.ce.gov.br/contexto-consulta-geral?texto=20828/2021-0&amp;tipo=processos" TargetMode="External"/><Relationship Id="rId12" Type="http://schemas.openxmlformats.org/officeDocument/2006/relationships/image" Target="media/image4.jpeg"/><Relationship Id="rId13" Type="http://schemas.openxmlformats.org/officeDocument/2006/relationships/hyperlink" Target="https://www.tce.ce.gov.br/contexto-consulta-geral?texto=26626/2025-1&amp;tipo=processos" TargetMode="External"/><Relationship Id="rId14" Type="http://schemas.openxmlformats.org/officeDocument/2006/relationships/image" Target="media/image4.jpeg"/><Relationship Id="rId15" Type="http://schemas.openxmlformats.org/officeDocument/2006/relationships/hyperlink" Target="https://www.tce.ce.gov.br/contexto-consulta-geral?texto=00487/2026-0&amp;tipo=processos" TargetMode="External"/><Relationship Id="rId16" Type="http://schemas.openxmlformats.org/officeDocument/2006/relationships/image" Target="media/image4.jpeg"/><Relationship Id="rId17" Type="http://schemas.openxmlformats.org/officeDocument/2006/relationships/hyperlink" Target="https://www.tce.ce.gov.br/contexto-consulta-geral?texto=15500/2026-8&amp;tipo=processos" TargetMode="External"/><Relationship Id="rId18" Type="http://schemas.openxmlformats.org/officeDocument/2006/relationships/image" Target="media/image4.jpeg"/><Relationship Id="rId19" Type="http://schemas.openxmlformats.org/officeDocument/2006/relationships/hyperlink" Target="https://www.tce.ce.gov.br/contexto-consulta-geral?texto=13915/2025-9&amp;tipo=processos" TargetMode="External"/><Relationship Id="rId20" Type="http://schemas.openxmlformats.org/officeDocument/2006/relationships/image" Target="media/image4.jpeg"/><Relationship Id="rId21" Type="http://schemas.openxmlformats.org/officeDocument/2006/relationships/hyperlink" Target="https://www.tce.ce.gov.br/contexto-consulta-geral?texto=13080/2026-2&amp;tipo=processos" TargetMode="External"/><Relationship Id="rId22" Type="http://schemas.openxmlformats.org/officeDocument/2006/relationships/image" Target="media/image4.jpeg"/><Relationship Id="rId23" Type="http://schemas.openxmlformats.org/officeDocument/2006/relationships/hyperlink" Target="https://www.tce.ce.gov.br/contexto-consulta-geral?texto=14966/2026-5&amp;tipo=processos" TargetMode="External"/><Relationship Id="rId24" Type="http://schemas.openxmlformats.org/officeDocument/2006/relationships/image" Target="media/image4.jpeg"/><Relationship Id="rId25" Type="http://schemas.openxmlformats.org/officeDocument/2006/relationships/hyperlink" Target="https://www.tce.ce.gov.br/contexto-consulta-geral?texto=15045/2026-0&amp;tipo=processos" TargetMode="External"/><Relationship Id="rId26" Type="http://schemas.openxmlformats.org/officeDocument/2006/relationships/image" Target="media/image4.jpeg"/><Relationship Id="rId27" Type="http://schemas.openxmlformats.org/officeDocument/2006/relationships/hyperlink" Target="https://www.tce.ce.gov.br/contexto-consulta-geral?texto=11049/2026-9&amp;tipo=processos" TargetMode="External"/><Relationship Id="rId28" Type="http://schemas.openxmlformats.org/officeDocument/2006/relationships/footer" Target="footer1.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
</Relationships>
</file>

<file path=word/_rels/footer1.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688</TotalTime>
  <Application>LibreOffice/24.2.6.2$Windows_X86_64 LibreOffice_project/ef66aa7e36a1bb8e65bfbc63aba53045a14d0871</Application>
  <AppVersion>15.0000</AppVersion>
  <Pages>6</Pages>
  <Words>3788</Words>
  <Characters>23183</Characters>
  <CharactersWithSpaces>27305</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2026-06-22T11:55:00Z</dcterms:created>
  <dc:creator>JOAO GUSTAVO DE PAIVA PESSOA</dc:creator>
  <dc:description/>
  <dc:language>pt-BR</dc:language>
  <cp:lastModifiedBy/>
  <cp:lastPrinted>2026-07-31T11:56:58Z</cp:lastPrinted>
  <dcterms:modified xsi:type="dcterms:W3CDTF">2026-09-02T15:58:51Z</dcterms:modified>
  <cp:revision>76</cp:revision>
  <dc:subject/>
  <dc:title/>
</cp:coreProperties>
</file>

<file path=docProps/custom.xml><?xml version="1.0" encoding="utf-8"?>
<Properties xmlns="http://schemas.openxmlformats.org/officeDocument/2006/custom-properties" xmlns:vt="http://schemas.openxmlformats.org/officeDocument/2006/docPropsVTypes"/>
</file>