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0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610995"/>
            <wp:effectExtent l="0" t="0" r="0" b="0"/>
            <wp:wrapNone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1"/>
      <w:bookmarkStart w:id="1" w:name="page1"/>
      <w:bookmarkEnd w:id="1"/>
    </w:p>
    <w:p>
      <w:pPr>
        <w:pStyle w:val="Normal"/>
        <w:spacing w:lineRule="atLeast" w:line="0"/>
        <w:ind w:hanging="0" w:start="5740" w:end="0"/>
        <w:rPr>
          <w:rFonts w:ascii="Arial" w:hAnsi="Arial" w:eastAsia="Arial" w:cs="Arial"/>
          <w:b/>
          <w:i/>
          <w:i/>
          <w:color w:val="auto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</w:r>
    </w:p>
    <w:p>
      <w:pPr>
        <w:pStyle w:val="Normal"/>
        <w:spacing w:lineRule="atLeast" w:line="0"/>
        <w:ind w:hanging="0" w:start="0" w:end="0"/>
        <w:rPr>
          <w:rFonts w:ascii="Arial" w:hAnsi="Arial" w:eastAsia="Arial" w:cs="Arial"/>
          <w:b/>
          <w:i/>
          <w:i/>
          <w:color w:val="auto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tLeast" w:line="0"/>
        <w:ind w:hanging="0" w:start="0" w:end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  <w:t xml:space="preserve">                                                                                                                                </w:t>
      </w:r>
      <w:r>
        <w:rPr>
          <w:rFonts w:eastAsia="Arial" w:cs="Arial" w:ascii="Arial" w:hAnsi="Arial"/>
          <w:b/>
          <w:i/>
          <w:color w:val="auto"/>
          <w:sz w:val="18"/>
        </w:rPr>
        <w:t>Fortaleza (CE), Ano 202</w:t>
      </w:r>
      <w:r>
        <w:rPr>
          <w:rFonts w:eastAsia="Arial" w:cs="Arial" w:ascii="Arial" w:hAnsi="Arial"/>
          <w:b/>
          <w:i/>
          <w:color w:val="auto"/>
          <w:sz w:val="18"/>
        </w:rPr>
        <w:t>5</w:t>
      </w:r>
      <w:r>
        <w:rPr>
          <w:rFonts w:eastAsia="Arial" w:cs="Arial" w:ascii="Arial" w:hAnsi="Arial"/>
          <w:b/>
          <w:i/>
          <w:color w:val="auto"/>
          <w:sz w:val="18"/>
        </w:rPr>
        <w:t xml:space="preserve"> – Nº </w:t>
      </w:r>
      <w:r>
        <w:rPr>
          <w:rFonts w:eastAsia="Arial" w:cs="Arial" w:ascii="Arial" w:hAnsi="Arial"/>
          <w:b/>
          <w:i/>
          <w:color w:val="auto"/>
          <w:sz w:val="18"/>
        </w:rPr>
        <w:t>10</w:t>
      </w:r>
    </w:p>
    <w:p>
      <w:pPr>
        <w:pStyle w:val="Normal"/>
        <w:spacing w:lineRule="exact" w:line="20"/>
        <w:rPr>
          <w:rFonts w:ascii="Arial" w:hAnsi="Arial" w:eastAsia="Times New Roman" w:cs="Times New Roman"/>
          <w:b/>
          <w:i/>
          <w:i/>
          <w:color w:val="4F4F4F"/>
          <w:sz w:val="24"/>
        </w:rPr>
      </w:pPr>
      <w:r>
        <w:rPr>
          <w:rFonts w:eastAsia="Times New Roman" w:cs="Times New Roman" w:ascii="Arial" w:hAnsi="Arial"/>
          <w:b/>
          <w:i/>
          <w:color w:val="4F4F4F"/>
          <w:sz w:val="24"/>
        </w:rPr>
      </w:r>
    </w:p>
    <w:p>
      <w:pPr>
        <w:pStyle w:val="Normal"/>
        <w:spacing w:lineRule="exact" w:line="200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</w:r>
    </w:p>
    <w:p>
      <w:pPr>
        <w:pStyle w:val="Normal"/>
        <w:spacing w:lineRule="exact" w:line="233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68580</wp:posOffset>
            </wp:positionH>
            <wp:positionV relativeFrom="paragraph">
              <wp:posOffset>30480</wp:posOffset>
            </wp:positionV>
            <wp:extent cx="6677660" cy="1606550"/>
            <wp:effectExtent l="0" t="0" r="0" b="0"/>
            <wp:wrapNone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hanging="0" w:start="280" w:end="260"/>
        <w:jc w:val="both"/>
        <w:rPr/>
      </w:pP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Este Informativo contém informações de decisões proferidas pelos Colegiados do TCE, que receberam indicação de relevância sob o prisma jurisprudencial no período de 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outubro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de 202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5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. As informações aqui apresentadas não constituem, todavia, o resumo oficial da decisão proferida pelo Tribunal nem representam, necessariamente, o posicionamento prevalente do TCE. O objetivo é facilitar ao interessado o acompanhamento dos acórdãos mais importantes do Tribunal. Para aprofundamento, o leitor pode acessar o inteiro teor das deliberações clicando em cima do número do processo. </w:t>
      </w:r>
    </w:p>
    <w:p>
      <w:pPr>
        <w:pStyle w:val="Normal"/>
        <w:spacing w:lineRule="auto" w:line="240"/>
        <w:ind w:hanging="0" w:start="280" w:end="260"/>
        <w:jc w:val="both"/>
        <w:rPr>
          <w:rFonts w:ascii="Arial" w:hAnsi="Arial" w:eastAsia="Arial" w:cs="Arial"/>
          <w:b w:val="false"/>
          <w:bCs w:val="false"/>
          <w:color w:val="auto"/>
          <w:sz w:val="18"/>
          <w:szCs w:val="18"/>
          <w:shd w:fill="auto" w:val="clear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ind w:hanging="0" w:start="280" w:end="260"/>
        <w:jc w:val="both"/>
        <w:rPr>
          <w:rFonts w:ascii="Arial" w:hAnsi="Arial" w:eastAsia="Arial" w:cs="Arial"/>
          <w:b w:val="false"/>
          <w:bCs w:val="false"/>
          <w:color w:val="auto"/>
          <w:sz w:val="18"/>
          <w:szCs w:val="18"/>
          <w:shd w:fill="auto" w:val="clear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 w:val="false"/>
          <w:bCs w:val="false"/>
          <w:color w:val="000000"/>
          <w:sz w:val="18"/>
          <w:szCs w:val="18"/>
          <w:shd w:fill="auto" w:val="clear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  <w:shd w:fill="auto" w:val="clear"/>
        </w:rPr>
        <w:drawing>
          <wp:anchor behindDoc="1" distT="0" distB="0" distL="114935" distR="114935" simplePos="0" locked="0" layoutInCell="1" allowOverlap="1" relativeHeight="4">
            <wp:simplePos x="0" y="0"/>
            <wp:positionH relativeFrom="column">
              <wp:posOffset>21590</wp:posOffset>
            </wp:positionH>
            <wp:positionV relativeFrom="paragraph">
              <wp:posOffset>7620</wp:posOffset>
            </wp:positionV>
            <wp:extent cx="6746875" cy="415290"/>
            <wp:effectExtent l="0" t="0" r="0" b="0"/>
            <wp:wrapNone/>
            <wp:docPr id="3" name="Figura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" t="-79" r="-3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hanging="0" w:start="0" w:end="0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</w:rPr>
        <w:t xml:space="preserve">ACÓRDÃO Nº 7271/2025 </w:t>
      </w:r>
      <w:r>
        <w:rPr>
          <w:rFonts w:eastAsia="Arial" w:cs="Times New Roman" w:ascii="Arial" w:hAnsi="Arial"/>
          <w:b/>
          <w:bCs/>
          <w:color w:val="000000"/>
          <w:sz w:val="22"/>
          <w:szCs w:val="22"/>
          <w:shd w:fill="auto" w:val="clear"/>
        </w:rPr>
        <w:t xml:space="preserve"> </w:t>
      </w:r>
    </w:p>
    <w:p>
      <w:pPr>
        <w:pStyle w:val="Normal"/>
        <w:spacing w:lineRule="auto" w:line="240"/>
        <w:ind w:hanging="0" w:start="0" w:end="0"/>
        <w:jc w:val="center"/>
        <w:rPr>
          <w:rFonts w:ascii="Arial" w:hAnsi="Arial" w:eastAsia="Arial" w:cs="Times New Roman"/>
          <w:b/>
          <w:bCs/>
          <w:color w:val="000000"/>
          <w:sz w:val="18"/>
          <w:szCs w:val="18"/>
          <w:shd w:fill="auto" w:val="clear"/>
        </w:rPr>
      </w:pPr>
      <w:r>
        <w:rPr>
          <w:rFonts w:eastAsia="Arial" w:cs="Times New Roman" w:ascii="Arial" w:hAnsi="Arial"/>
          <w:b/>
          <w:bCs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ind w:hanging="0" w:start="0" w:end="0"/>
        <w:jc w:val="center"/>
        <w:rPr>
          <w:rFonts w:ascii="Arial" w:hAnsi="Arial" w:eastAsia="Arial" w:cs="Times New Roman"/>
          <w:b/>
          <w:bCs/>
          <w:color w:val="000000"/>
          <w:sz w:val="18"/>
          <w:szCs w:val="18"/>
          <w:shd w:fill="auto" w:val="clear"/>
        </w:rPr>
      </w:pPr>
      <w:r>
        <w:rPr>
          <w:rFonts w:eastAsia="Arial" w:cs="Times New Roman" w:ascii="Arial" w:hAnsi="Arial"/>
          <w:b/>
          <w:bCs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PRESTAÇÃO DE CONTAS DE GESTÃO. FUNDEB. OMISSÃO NO SIM. NÃO IMPLANTAÇÃO DA CONTA ÚNICA. DIVERGÊNCIA DOS VALORES NO SIM. IMPOSSIBILIDADE VERIFICAR A APLICAÇÃO DOS RECURSOS DO VAAT. NÃO COMPROVAÇÃO DO SALDO FINANCEIRO. DÉBITO. MULTA. CONTAS IRREGULARES.</w:t>
      </w:r>
    </w:p>
    <w:p>
      <w:pPr>
        <w:pStyle w:val="Normal"/>
        <w:spacing w:lineRule="auto" w:line="240"/>
        <w:jc w:val="both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O Pleno Virtual desta Corte de Contas apreciou processo de prestação de contas de gestão do Fundo de Desenvolvimento e Manutenção da Educação Básica (FUNDEB), referente a exercício financeiro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 2022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, com o propósito de verificar a conformidade da aplicação dos recursos públicos destinados à educação básica por uma entidade pública. A análise técnica apontou irregularidades de natureza formal e material, demonstrando incompatibilidade entre a execução financeira e as normas que regem a matéria, especialmente a Lei Federal nº 14.113/2020 (Novo FUNDEB) e a Lei Orgânica do Tribunal (LOTCE). Entre os achados mais relevantes, destacou-se a existência de saldo financeiro não comprovado na conciliação bancária, configurando dano ao erário e ensejando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aplicação de multa, conforme o art. 61 da LOTCE. Também foi constatado o descumprimento do art. 21 da Lei nº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4.113/2020, em razão da ausência de implantação da conta única para movimentação dos recursos, além da impossibilidade de comprovar a correta aplicação da Complementação da União – VAAT, o que impediu a verificação do cumprimento dos percentuais mínimos obrigatórios de investimento em educação infantil e em despesas de capital, previstos nos arts. 27 e 28 da referida norma. Outras falhas identificadas incluíram a omissão na identificação de contratos, divergências entre registros contábeis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sistemas de controle e deficiência na transparência ativa, caracterizada pela ausência de informações atualizadas sobre o Conselho de Acompanhamento e Controle Social do FUNDEB (CACS/FUNDEB) no portal oficial, em desacordo com o art. 34, §11, da Lei nº 14.113/2020. Diante das constatações, o Tribunal julgou irregulares as contas,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imputou dano,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aplicou multa ao gestor, determinou o envio de cópia da decisão ao Ministério Público competente para apuração de eventual ato de improbidade administrativa e ordenou à atual gestão a imediata regularização da publicidade das informações do CACS/FUNDEB. </w:t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/>
      </w:pPr>
      <w:hyperlink r:id="rId5">
        <w:r>
          <w:rPr>
            <w:rStyle w:val="Hyperlink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2A6099"/>
            <w:spacing w:val="0"/>
            <w:sz w:val="18"/>
            <w:szCs w:val="18"/>
            <w:u w:val="single"/>
            <w:effect w:val="none"/>
            <w:shd w:fill="FFFFFF" w:val="clear"/>
            <w:lang w:val="en-US"/>
          </w:rPr>
          <w:t>Processo n.º 19126/2023-9</w:t>
        </w:r>
      </w:hyperlink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.     Relator(a): Cons. Soraia Victor.     Sessão Pleno: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03/10/2025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.    Ata n.º 24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8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/2025.    DO: 2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9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10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/2025.</w:t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Fonts w:ascii="Arial" w:hAnsi="Arial" w:eastAsia="Arial" w:cs="Times New Roman"/>
          <w:b/>
          <w:bCs/>
          <w:color w:val="C9211E"/>
          <w:sz w:val="18"/>
          <w:szCs w:val="18"/>
          <w:shd w:fill="auto" w:val="clear"/>
        </w:rPr>
      </w:pPr>
      <w:r>
        <w:rPr>
          <w:rFonts w:eastAsia="Arial" w:cs="Times New Roman" w:ascii="Arial" w:hAnsi="Arial"/>
          <w:b/>
          <w:bCs/>
          <w:color w:val="C9211E"/>
          <w:sz w:val="18"/>
          <w:szCs w:val="18"/>
          <w:shd w:fill="auto" w:val="clear"/>
        </w:rPr>
      </w:r>
    </w:p>
    <w:p>
      <w:pPr>
        <w:pStyle w:val="Normal"/>
        <w:widowControl/>
        <w:spacing w:lineRule="auto" w:line="240"/>
        <w:ind w:hanging="0" w:start="0" w:end="0"/>
        <w:jc w:val="center"/>
        <w:rPr>
          <w:rFonts w:ascii="Arial" w:hAnsi="Arial"/>
          <w:b/>
          <w:bCs/>
          <w:color w:val="C9211E"/>
          <w:sz w:val="18"/>
          <w:szCs w:val="18"/>
          <w:lang w:val="en-US"/>
        </w:rPr>
      </w:pPr>
      <w:r>
        <w:rPr>
          <w:rFonts w:ascii="Arial" w:hAnsi="Arial"/>
          <w:b/>
          <w:bCs/>
          <w:color w:val="C9211E"/>
          <w:sz w:val="18"/>
          <w:szCs w:val="18"/>
          <w:lang w:val="en-US"/>
        </w:rPr>
        <w:drawing>
          <wp:anchor behindDoc="1" distT="0" distB="0" distL="114935" distR="114935" simplePos="0" locked="0" layoutInCell="1" allowOverlap="1" relativeHeight="9">
            <wp:simplePos x="0" y="0"/>
            <wp:positionH relativeFrom="column">
              <wp:posOffset>-55245</wp:posOffset>
            </wp:positionH>
            <wp:positionV relativeFrom="paragraph">
              <wp:posOffset>22860</wp:posOffset>
            </wp:positionV>
            <wp:extent cx="6825615" cy="455295"/>
            <wp:effectExtent l="0" t="0" r="0" b="0"/>
            <wp:wrapNone/>
            <wp:docPr id="4" name="Figura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Calibri" w:cs="Arial"/>
          <w:b/>
          <w:bCs/>
          <w:color w:val="FFFFFF"/>
          <w:sz w:val="22"/>
          <w:szCs w:val="22"/>
          <w:lang w:val="en-US"/>
        </w:rPr>
      </w:pPr>
      <w:r>
        <w:rPr>
          <w:rFonts w:eastAsia="Calibri" w:cs="Arial" w:ascii="Arial" w:hAnsi="Arial"/>
          <w:b/>
          <w:bCs/>
          <w:color w:val="FFFFFF"/>
          <w:sz w:val="22"/>
          <w:szCs w:val="22"/>
          <w:lang w:val="en-US"/>
        </w:rPr>
        <w:t xml:space="preserve">ACÓRDÃO Nº 8436/2025 </w:t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Calibri" w:cs="Arial"/>
          <w:b/>
          <w:bCs/>
          <w:color w:val="auto"/>
          <w:sz w:val="18"/>
          <w:szCs w:val="18"/>
          <w:lang w:val="en-US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Calibri" w:cs="Arial"/>
          <w:b/>
          <w:bCs/>
          <w:color w:val="auto"/>
          <w:sz w:val="18"/>
          <w:szCs w:val="18"/>
          <w:lang w:val="en-US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/>
      </w:pP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CONSULTA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LICITAÇÃO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HABILITAÇÃO.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DILIGÊNCIA.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COMPLEMENTAÇÃO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DE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DOCUMENTAÇÃO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GARANTIA DA PROPOSTA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PRINCÍPIO DO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FORMALISMO MODERADO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POSSIBILIDADE.</w:t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u w:val="none"/>
          <w:effect w:val="none"/>
          <w:shd w:fill="auto" w:val="clear"/>
        </w:rPr>
      </w:pPr>
      <w:r>
        <w:rPr/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O Tribunal de Contas do Estado do Ceará apreciou Consulta acerca da possibilidade de, em sede de diligência, admitir a apresentação de garantia de proposta emitida em data posterior ao recebimento das propostas em procedimento licitatório. A questão central consistiu em definir se a diligência poderia ser utilizada para suprir falhas meramente formais ou se permitiria a juntada de documento que configurasse condição nova de habilitação. A Corte firmou entendimento de que a diligência prevista no art. 64, inciso I, da Lei nº 14.133/2021, tem por finalidade sanar falhas formais e esclarecer situações preexistentes, não podendo ser empregada para criar ou constituir condição inexistente à época da entrega das propostas. Assim,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entendeu-se ser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juridicamente admissível a apresentação, em diligência, de documento emitido após a data de recebimento das propostas, desde que destinado exclusivamente a comprovar situação já existente naquele momento. No caso específico da garantia de proposta, o Tribunal considerou legítima a atuação do agente de contratações que determina diligência para sua apresentação, desde que o documento, ainda que emitido posteriormente, demonstre que a garantia foi efetivamente constituída antes da sessão pública, funcionando a emissão extemporânea apenas como formalização de condição preexistente. 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Tribunal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veda, contudo, a aceitação de garantia ou documento que configure fato novo ou condição criada após o prazo de entrega das propostas, por violar os princípios da isonomia, da competitividade e da vinculação ao instrumento convocatório. O Tribunal também ressaltou que a desclassificação de licitante por falha exclusivamente formal, sem a oportunidade de saneamento, contraria o interesse público, ao privilegiar o formalismo excessivo em detrimento do resultado do certame. 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/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hyperlink r:id="rId7">
        <w:r>
          <w:rPr>
            <w:rStyle w:val="Hyperlink"/>
            <w:rFonts w:eastAsia="Arial" w:cs="Times New Roman" w:ascii="Arial" w:hAnsi="Arial"/>
            <w:i w:val="false"/>
            <w:caps w:val="false"/>
            <w:smallCaps w:val="false"/>
            <w:color w:val="2A6099"/>
            <w:spacing w:val="0"/>
            <w:sz w:val="18"/>
            <w:szCs w:val="18"/>
            <w:shd w:fill="auto" w:val="clear"/>
            <w:lang w:val="en-US"/>
          </w:rPr>
          <w:t>P</w:t>
        </w:r>
      </w:hyperlink>
      <w:hyperlink r:id="rId8">
        <w:r>
          <w:rPr>
            <w:rStyle w:val="Hyperlink"/>
            <w:rFonts w:eastAsia="Arial" w:cs="Times New Roman" w:ascii="Arial" w:hAnsi="Arial"/>
            <w:i w:val="false"/>
            <w:caps w:val="false"/>
            <w:smallCaps w:val="false"/>
            <w:color w:val="2A6099"/>
            <w:spacing w:val="0"/>
            <w:sz w:val="18"/>
            <w:szCs w:val="18"/>
            <w:shd w:fill="auto" w:val="clear"/>
            <w:lang w:val="en-US"/>
          </w:rPr>
          <w:t>rocesso</w:t>
        </w:r>
      </w:hyperlink>
      <w:hyperlink r:id="rId9">
        <w:r>
          <w:rPr>
            <w:rStyle w:val="Hyperlink"/>
            <w:rFonts w:eastAsia="Arial" w:cs="Times New Roman" w:ascii="Arial" w:hAnsi="Arial"/>
            <w:i w:val="false"/>
            <w:caps w:val="false"/>
            <w:smallCaps w:val="false"/>
            <w:color w:val="2A6099"/>
            <w:spacing w:val="0"/>
            <w:sz w:val="18"/>
            <w:szCs w:val="18"/>
            <w:shd w:fill="auto" w:val="clear"/>
            <w:lang w:val="en-US"/>
          </w:rPr>
          <w:t xml:space="preserve"> nº.</w:t>
        </w:r>
      </w:hyperlink>
      <w:hyperlink r:id="rId10">
        <w:r>
          <w:rPr>
            <w:rStyle w:val="Hyperlink"/>
            <w:rFonts w:eastAsia="Arial" w:cs="Times New Roman" w:ascii="Arial" w:hAnsi="Arial"/>
            <w:i w:val="false"/>
            <w:caps w:val="false"/>
            <w:smallCaps w:val="false"/>
            <w:color w:val="2A6099"/>
            <w:spacing w:val="0"/>
            <w:sz w:val="18"/>
            <w:szCs w:val="18"/>
            <w:shd w:fill="auto" w:val="clear"/>
            <w:lang w:val="en-US"/>
          </w:rPr>
          <w:t xml:space="preserve"> </w:t>
        </w:r>
      </w:hyperlink>
      <w:hyperlink r:id="rId11">
        <w:r>
          <w:rPr>
            <w:rStyle w:val="Hyperlink"/>
            <w:rFonts w:eastAsia="Arial" w:cs="Times New Roman" w:ascii="Arial" w:hAnsi="Arial"/>
            <w:i w:val="false"/>
            <w:caps w:val="false"/>
            <w:smallCaps w:val="false"/>
            <w:color w:val="2A6099"/>
            <w:spacing w:val="0"/>
            <w:sz w:val="18"/>
            <w:szCs w:val="18"/>
            <w:shd w:fill="auto" w:val="clear"/>
            <w:lang w:val="en-US"/>
          </w:rPr>
          <w:t>19210/2025-1</w:t>
        </w:r>
      </w:hyperlink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.    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Relator(a):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Cons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.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Edilberto Pontes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.  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Sessão Pleno: 2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8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10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/2025.  Ata n.º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251/2025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.  D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O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: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25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11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/2025.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  <w:drawing>
          <wp:anchor behindDoc="1" distT="0" distB="0" distL="114935" distR="114935" simplePos="0" locked="0" layoutInCell="1" allowOverlap="1" relativeHeight="8">
            <wp:simplePos x="0" y="0"/>
            <wp:positionH relativeFrom="column">
              <wp:posOffset>-2540</wp:posOffset>
            </wp:positionH>
            <wp:positionV relativeFrom="paragraph">
              <wp:posOffset>117475</wp:posOffset>
            </wp:positionV>
            <wp:extent cx="6825615" cy="433705"/>
            <wp:effectExtent l="0" t="0" r="0" b="0"/>
            <wp:wrapNone/>
            <wp:docPr id="5" name="Figura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6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</w:r>
    </w:p>
    <w:p>
      <w:pPr>
        <w:pStyle w:val="BodyText"/>
        <w:widowControl/>
        <w:spacing w:lineRule="auto" w:line="240" w:before="0" w:after="0"/>
        <w:ind w:hanging="0" w:start="0" w:end="0"/>
        <w:jc w:val="center"/>
        <w:rPr>
          <w:rFonts w:ascii="Arial" w:hAnsi="Arial"/>
          <w:b/>
          <w:bCs/>
          <w:color w:val="FFFFFF"/>
          <w:sz w:val="22"/>
          <w:szCs w:val="22"/>
        </w:rPr>
      </w:pPr>
      <w:bookmarkStart w:id="2" w:name="docs-internal-guid-ffb8d685-7fff-2a25-32"/>
      <w:bookmarkEnd w:id="2"/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  <w:shd w:fill="auto" w:val="clear"/>
        </w:rPr>
        <w:t xml:space="preserve">ACÓRDÃO Nº </w:t>
      </w:r>
      <w:r>
        <w:rPr>
          <w:rFonts w:ascii="Arial" w:hAnsi="Arial"/>
          <w:b/>
          <w:bCs/>
          <w:color w:val="FFFFFF"/>
          <w:sz w:val="22"/>
          <w:szCs w:val="22"/>
        </w:rPr>
        <w:t xml:space="preserve">8085/2025 </w:t>
      </w:r>
    </w:p>
    <w:p>
      <w:pPr>
        <w:pStyle w:val="BodyText"/>
        <w:widowControl/>
        <w:spacing w:lineRule="auto" w:line="240"/>
        <w:ind w:hanging="0" w:start="0" w:end="0"/>
        <w:jc w:val="center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CONSULTA.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SERVIDOR PÚBLICO. TRANSPOSIÇÃO DE CARGO.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AUXILIAR DE ENFERMAGEM. TÉCNICO DE ENFERMAGEM. PRINCÍPIO DO CONCURSO PÚBLICO.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IMPOSSIBILIDADE.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sz w:val="24"/>
          <w:szCs w:val="24"/>
          <w:u w:val="none"/>
          <w:effect w:val="none"/>
          <w:shd w:fill="auto" w:val="clear"/>
        </w:rPr>
      </w:pPr>
      <w:r>
        <w:rPr/>
      </w:r>
    </w:p>
    <w:p>
      <w:pPr>
        <w:pStyle w:val="BodyText"/>
        <w:spacing w:lineRule="auto" w:line="240" w:before="0" w:after="0"/>
        <w:jc w:val="both"/>
        <w:rPr/>
      </w:pPr>
      <w:bookmarkStart w:id="3" w:name="docs-internal-guid-56a61f89-7fff-1640-7b"/>
      <w:bookmarkEnd w:id="3"/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Trata-se 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uma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consulta sobre a possibilidade de transferir servidores do cargo extinto de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auxiliar de enfermagem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para o de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técnico de enfermagem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, mesmo quando o servidor já possuía a habilitação necessária. A Corte, acompanhando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instrução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té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nica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a opinião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do Ministério Público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especial junto ao TCE/CE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, concluiu que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 transposição é juridicamente impossível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, pois viola 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princípio do concurso público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previsto no art. 37, II, da Constituição Federal. 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 xml:space="preserve">O Pleno ressaltou que esse tipo de provimento derivado foi </w:t>
      </w:r>
      <w:r>
        <w:rPr>
          <w:rStyle w:val="Strong"/>
          <w:rFonts w:ascii="Arial" w:hAnsi="Arial"/>
          <w:b w:val="false"/>
          <w:bCs w:val="false"/>
          <w:color w:val="auto"/>
          <w:sz w:val="20"/>
          <w:szCs w:val="20"/>
        </w:rPr>
        <w:t>banido do ordenamento jurídico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 xml:space="preserve"> e que a </w:t>
      </w:r>
      <w:r>
        <w:rPr>
          <w:rStyle w:val="Strong"/>
          <w:rFonts w:ascii="Arial" w:hAnsi="Arial"/>
          <w:b w:val="false"/>
          <w:bCs w:val="false"/>
          <w:color w:val="auto"/>
          <w:sz w:val="20"/>
          <w:szCs w:val="20"/>
        </w:rPr>
        <w:t>Súmula Vinculante nº 43 do STF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 xml:space="preserve"> proíbe a investidura em cargo 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>estranho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>à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 xml:space="preserve"> carreira original sem novo concurso. Também destacou que os cargos de auxiliar e técnico de enfermagem têm </w:t>
      </w:r>
      <w:r>
        <w:rPr>
          <w:rStyle w:val="Strong"/>
          <w:rFonts w:ascii="Arial" w:hAnsi="Arial"/>
          <w:b w:val="false"/>
          <w:bCs w:val="false"/>
          <w:color w:val="auto"/>
          <w:sz w:val="20"/>
          <w:szCs w:val="20"/>
        </w:rPr>
        <w:t>diferenças de escolaridade, atribuições e remuneração</w:t>
      </w:r>
      <w:r>
        <w:rPr>
          <w:rFonts w:ascii="Arial" w:hAnsi="Arial"/>
          <w:b w:val="false"/>
          <w:bCs w:val="false"/>
          <w:color w:val="auto"/>
          <w:sz w:val="20"/>
          <w:szCs w:val="20"/>
        </w:rPr>
        <w:t>, o que impede qualquer reenquadramento.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Por unanimidade, o Tribunal reafirmou a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inconstitucionalidade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de qualquer forma de transposição ou aproveitamento entre esses cargos, mantendo coerência com seus precedentes.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spacing w:lineRule="auto" w:line="240" w:before="0" w:after="26"/>
        <w:jc w:val="both"/>
        <w:rPr/>
      </w:pPr>
      <w:hyperlink r:id="rId13">
        <w:r>
          <w:rPr>
            <w:rStyle w:val="Hyperlink"/>
            <w:rFonts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2A6099"/>
            <w:sz w:val="18"/>
            <w:szCs w:val="18"/>
            <w:u w:val="single"/>
            <w:effect w:val="none"/>
            <w:shd w:fill="FFFFFF" w:val="clear"/>
          </w:rPr>
          <w:t>Processo n.º 00410/2025-</w:t>
        </w:r>
      </w:hyperlink>
      <w:hyperlink r:id="rId14">
        <w:r>
          <w:rPr>
            <w:rStyle w:val="Hyperlink"/>
            <w:rFonts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2A6099"/>
            <w:sz w:val="18"/>
            <w:szCs w:val="18"/>
            <w:u w:val="single"/>
            <w:effect w:val="none"/>
            <w:shd w:fill="FFFFFF" w:val="clear"/>
          </w:rPr>
          <w:t>2</w:t>
        </w:r>
      </w:hyperlink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single"/>
          <w:effect w:val="none"/>
          <w:shd w:fill="FFFFFF" w:val="clear"/>
        </w:rPr>
        <w:t>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 xml:space="preserve">     Relator(a): Cons. Soraia Victor.     Sessão Pleno: 20/10/2025.     Ata n.º 2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50/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2025.     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O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 xml:space="preserve">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10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/1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/2025.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  <w:drawing>
          <wp:anchor behindDoc="1" distT="0" distB="0" distL="114935" distR="114935" simplePos="0" locked="0" layoutInCell="1" allowOverlap="1" relativeHeight="10">
            <wp:simplePos x="0" y="0"/>
            <wp:positionH relativeFrom="column">
              <wp:posOffset>-2540</wp:posOffset>
            </wp:positionH>
            <wp:positionV relativeFrom="paragraph">
              <wp:posOffset>117475</wp:posOffset>
            </wp:positionV>
            <wp:extent cx="6825615" cy="433705"/>
            <wp:effectExtent l="0" t="0" r="0" b="0"/>
            <wp:wrapNone/>
            <wp:docPr id="6" name="Figura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7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</w:r>
    </w:p>
    <w:p>
      <w:pPr>
        <w:pStyle w:val="BodyText"/>
        <w:widowControl/>
        <w:spacing w:lineRule="auto" w:line="240" w:before="0" w:after="0"/>
        <w:ind w:hanging="0" w:start="0" w:end="0"/>
        <w:jc w:val="center"/>
        <w:rPr>
          <w:rFonts w:ascii="Arial" w:hAnsi="Arial"/>
          <w:b/>
          <w:bCs/>
          <w:color w:val="FFFFFF"/>
          <w:sz w:val="22"/>
          <w:szCs w:val="22"/>
        </w:rPr>
      </w:pPr>
      <w:bookmarkStart w:id="4" w:name="docs-internal-guid-ffb8d685-7fff-2a25-31"/>
      <w:bookmarkEnd w:id="4"/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  <w:shd w:fill="auto" w:val="clear"/>
        </w:rPr>
        <w:t xml:space="preserve">ACÓRDÃO Nº </w:t>
      </w:r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  <w:shd w:fill="auto" w:val="clear"/>
        </w:rPr>
        <w:t>7213</w:t>
      </w:r>
      <w:r>
        <w:rPr>
          <w:rFonts w:ascii="Arial" w:hAnsi="Arial"/>
          <w:b/>
          <w:bCs/>
          <w:color w:val="FFFFFF"/>
          <w:sz w:val="22"/>
          <w:szCs w:val="22"/>
        </w:rPr>
        <w:t xml:space="preserve">/2025 </w:t>
      </w:r>
    </w:p>
    <w:p>
      <w:pPr>
        <w:pStyle w:val="BodyText"/>
        <w:widowControl/>
        <w:spacing w:lineRule="auto" w:line="240"/>
        <w:ind w:hanging="0" w:start="0" w:end="0"/>
        <w:jc w:val="center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REPRESENTAÇÃO. CONCORRÊNCIA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ELETRÔNICA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ARCERIA PÚBLICO-PRIVADA. CONCESSÃO ADMINISTRATIVA.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RESTRIÇÃO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COMPETITIVIDADE. E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XI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GÊNCIA DE HABILITAÇÃO TÉCNICA DE TODOS OS CONSORCIADOS.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NOTAS DO ATESTADO DE CAPACIDADE TÉCNICA.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PROCEDÊNCIA PARCIAL. ANULAÇÃO DA LICITAÇÃO. DETERMINAÇÃO.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sz w:val="24"/>
          <w:szCs w:val="24"/>
          <w:u w:val="none"/>
          <w:effect w:val="none"/>
          <w:shd w:fill="auto" w:val="clear"/>
        </w:rPr>
      </w:pPr>
      <w:r>
        <w:rPr/>
      </w:r>
    </w:p>
    <w:p>
      <w:pPr>
        <w:pStyle w:val="BodyText"/>
        <w:spacing w:lineRule="auto" w:line="240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rata-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se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uma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Representação formulada contra a unidade licitante responsável por uma Concorrência Eletrônica, que visava a Contratação de Parceria Público-Privada (PPP) na modalidade Concessão Administrativa, para a gestão, manutenção e exploração comercial de terminais e corredores estruturados de transporte urbano. A Representação apontou graves irregularidades no Edital, as quais resultavam em restrição indevida à competitividade e descumprimento de normas federais. Dentre as falhas mantidas pelo Tribunal, destacam-se: (1) a exigência de quantitativos mínimos para a comprovação de capacidade técnico-profissional, extrapolando os limites estabelecidos pelo art. 67 da Lei Federal nº 14.133/2021 (Nova Lei de Licitações - NLL), que visa garantir a competitividade; (2) a imposição de que, em caso de consórcio, cada consorciado deveria cumprir todas as exigências de qualificação técnica individualmente, o que contraria o art. 15, inciso III, da NLL, que prevê a regra de somatório de esforços para fins de habilitação técnica e econômico-financeira; (3) a adoção de critério de pontuação técnica pela simples apresentação de certificação ISO 14001, que implica em custos não necessários anteriormente à celebração do contrato, em violação à Súmula TCU nº 272; e (4) a duplicação indevida de exigências ao pontuar, na proposta técnica, um atestado de capacidade já pedido como requisito de habilitação, algo vedado em licitações do tipo técnica e preço, conforme jurisprudência aplicável. Diante das ilegalidades, o Pleno Virtual desta Corte, por maioria , julgou a Representação pela Procedência Parcial e determinou a ANULAÇÃO da Concorrência Eletrônica. A decisão ainda impôs à gestão da entidade pública a obrigação de comprovar, no prazo de 30 (trinta) dias, a anulação do certame ou, alternativamente, realizar os devidos ajustes no Edital para correção das falhas, devendo a Administração, em caso de descumprimento, estar sujeita à multa prevista no art. 62, inciso V, da LOTCE.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widowControl/>
        <w:spacing w:lineRule="auto" w:line="240" w:before="0" w:after="140"/>
        <w:ind w:hanging="0" w:start="0" w:end="0"/>
        <w:jc w:val="both"/>
        <w:rPr/>
      </w:pPr>
      <w:hyperlink r:id="rId16">
        <w:r>
          <w:rPr>
            <w:rStyle w:val="Hyperlink"/>
            <w:rFonts w:eastAsia="Arial" w:cs="Times New Roman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2A6099"/>
            <w:spacing w:val="0"/>
            <w:sz w:val="18"/>
            <w:szCs w:val="18"/>
            <w:u w:val="single"/>
            <w:effect w:val="none"/>
            <w:shd w:fill="FFFFFF" w:val="clear"/>
            <w:lang w:val="en-US"/>
          </w:rPr>
          <w:t>Processo n.º 11887/2024-2.</w:t>
        </w:r>
      </w:hyperlink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     Relator(a): Cons. Soraia Victor.     Sessão Pleno: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03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/10/2025.      Ata n.º 2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48</w:t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2025.     D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O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: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28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/1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0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/2025.</w:t>
      </w:r>
    </w:p>
    <w:sectPr>
      <w:headerReference w:type="default" r:id="rId17"/>
      <w:footerReference w:type="default" r:id="rId18"/>
      <w:type w:val="nextPage"/>
      <w:pgSz w:w="11906" w:h="16838"/>
      <w:pgMar w:left="580" w:right="586" w:gutter="0" w:header="1134" w:top="1700" w:footer="918" w:bottom="14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-350520</wp:posOffset>
          </wp:positionH>
          <wp:positionV relativeFrom="paragraph">
            <wp:posOffset>152400</wp:posOffset>
          </wp:positionV>
          <wp:extent cx="7542530" cy="583565"/>
          <wp:effectExtent l="0" t="0" r="0" b="0"/>
          <wp:wrapNone/>
          <wp:docPr id="7" name="Figura1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33" r="-2" b="-33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40"/>
      <w:ind w:hanging="0" w:start="0" w:end="0"/>
      <w:jc w:val="both"/>
      <w:rPr>
        <w:rFonts w:ascii="Arial" w:hAnsi="Arial" w:eastAsia="Arial" w:cs="Times New Roman"/>
        <w:b/>
        <w:bCs/>
        <w:color w:val="auto"/>
        <w:sz w:val="22"/>
        <w:szCs w:val="22"/>
        <w:shd w:fill="auto" w:val="clear"/>
      </w:rPr>
    </w:pPr>
    <w:r>
      <w:rPr>
        <w:rFonts w:eastAsia="Arial" w:cs="Times New Roman" w:ascii="Arial" w:hAnsi="Arial"/>
        <w:b/>
        <w:bCs/>
        <w:color w:val="000000"/>
        <w:sz w:val="22"/>
        <w:szCs w:val="22"/>
        <w:shd w:fill="auto" w:val="clear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libri" w:hAnsi="Calibri" w:eastAsia="Calibri" w:cs="Arial"/>
      <w:color w:val="auto"/>
      <w:sz w:val="20"/>
      <w:szCs w:val="20"/>
      <w:lang w:val="pt-BR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Lucida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5370" w:leader="none"/>
        <w:tab w:val="right" w:pos="10740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5370" w:leader="none"/>
        <w:tab w:val="right" w:pos="10740" w:leader="none"/>
      </w:tabs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odecitao">
    <w:name w:val="Bloco de citação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www.tce.ce.gov.br/contexto-consulta-geral?texto=19126/2023-9&amp;tipo=processos" TargetMode="External"/><Relationship Id="rId6" Type="http://schemas.openxmlformats.org/officeDocument/2006/relationships/image" Target="media/image4.jpeg"/><Relationship Id="rId7" Type="http://schemas.openxmlformats.org/officeDocument/2006/relationships/hyperlink" Target="https://www.tce.ce.gov.br/contexto-consulta-geral?texto=19210/2025-1&amp;tipo=processos" TargetMode="External"/><Relationship Id="rId8" Type="http://schemas.openxmlformats.org/officeDocument/2006/relationships/hyperlink" Target="https://www.tce.ce.gov.br/contexto-consulta-geral?texto=19210/2025-1&amp;tipo=processos" TargetMode="External"/><Relationship Id="rId9" Type="http://schemas.openxmlformats.org/officeDocument/2006/relationships/hyperlink" Target="https://www.tce.ce.gov.br/contexto-consulta-geral?texto=19210/2025-1&amp;tipo=processos" TargetMode="External"/><Relationship Id="rId10" Type="http://schemas.openxmlformats.org/officeDocument/2006/relationships/hyperlink" Target="https://www.tce.ce.gov.br/contexto-consulta-geral?texto=19210/2025-1&amp;tipo=processos" TargetMode="External"/><Relationship Id="rId11" Type="http://schemas.openxmlformats.org/officeDocument/2006/relationships/hyperlink" Target="https://www.tce.ce.gov.br/contexto-consulta-geral?texto=19210/2025-1&amp;tipo=processos" TargetMode="External"/><Relationship Id="rId12" Type="http://schemas.openxmlformats.org/officeDocument/2006/relationships/image" Target="media/image4.jpeg"/><Relationship Id="rId13" Type="http://schemas.openxmlformats.org/officeDocument/2006/relationships/hyperlink" Target="https://www.tce.ce.gov.br/contexto-consulta-geral?texto=00410/2025-2&amp;tipo=processos" TargetMode="External"/><Relationship Id="rId14" Type="http://schemas.openxmlformats.org/officeDocument/2006/relationships/hyperlink" Target="https://www.tce.ce.gov.br/contexto-consulta-geral?texto=00410/2025-2&amp;tipo=processos" TargetMode="External"/><Relationship Id="rId15" Type="http://schemas.openxmlformats.org/officeDocument/2006/relationships/image" Target="media/image4.jpeg"/><Relationship Id="rId16" Type="http://schemas.openxmlformats.org/officeDocument/2006/relationships/hyperlink" Target="https://www.tce.ce.gov.br/contexto-consulta-geral?texto=11887/2024-2&amp;tipo=processos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LibreOffice/24.2.6.2$Windows_X86_64 LibreOffice_project/ef66aa7e36a1bb8e65bfbc63aba53045a14d0871</Application>
  <AppVersion>15.0000</AppVersion>
  <Pages>3</Pages>
  <Words>1253</Words>
  <Characters>7533</Characters>
  <CharactersWithSpaces>9087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2025-12-17T09:17:33Z</dcterms:created>
  <dc:creator/>
  <dc:description/>
  <dc:language>pt-BR</dc:language>
  <cp:lastModifiedBy/>
  <dcterms:modified xsi:type="dcterms:W3CDTF">2025-12-17T09:47:18Z</dcterms:modified>
  <cp:revision>10</cp:revision>
  <dc:subject/>
  <dc:title/>
</cp:coreProperties>
</file>