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00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  <w:drawing>
          <wp:anchor behindDoc="1" distT="0" distB="0" distL="114935" distR="114935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610995"/>
            <wp:effectExtent l="0" t="0" r="0" b="0"/>
            <wp:wrapNone/>
            <wp:docPr id="1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11" r="-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1"/>
      <w:bookmarkStart w:id="1" w:name="page1"/>
      <w:bookmarkEnd w:id="1"/>
    </w:p>
    <w:p>
      <w:pPr>
        <w:pStyle w:val="Normal"/>
        <w:spacing w:lineRule="atLeast" w:line="0"/>
        <w:ind w:hanging="0" w:start="5740" w:end="0"/>
        <w:rPr>
          <w:rFonts w:ascii="Arial" w:hAnsi="Arial" w:eastAsia="Arial" w:cs="Arial"/>
          <w:b/>
          <w:i/>
          <w:i/>
          <w:color w:val="auto"/>
          <w:sz w:val="18"/>
        </w:rPr>
      </w:pPr>
      <w:r>
        <w:rPr>
          <w:rFonts w:eastAsia="Arial" w:cs="Arial" w:ascii="Arial" w:hAnsi="Arial"/>
          <w:b/>
          <w:i/>
          <w:color w:val="auto"/>
          <w:sz w:val="18"/>
        </w:rPr>
      </w:r>
    </w:p>
    <w:p>
      <w:pPr>
        <w:pStyle w:val="Normal"/>
        <w:spacing w:lineRule="atLeast" w:line="0"/>
        <w:ind w:hanging="0" w:start="0" w:end="0"/>
        <w:rPr>
          <w:rFonts w:ascii="Arial" w:hAnsi="Arial" w:eastAsia="Arial" w:cs="Arial"/>
          <w:b/>
          <w:i/>
          <w:i/>
          <w:color w:val="auto"/>
          <w:sz w:val="18"/>
        </w:rPr>
      </w:pPr>
      <w:r>
        <w:rPr>
          <w:rFonts w:eastAsia="Arial" w:cs="Arial" w:ascii="Arial" w:hAnsi="Arial"/>
          <w:b/>
          <w:i/>
          <w:color w:val="auto"/>
          <w:sz w:val="18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pacing w:lineRule="atLeast" w:line="0"/>
        <w:ind w:hanging="0" w:start="0" w:end="0"/>
        <w:rPr>
          <w:rFonts w:ascii="Arial" w:hAnsi="Arial" w:eastAsia="Arial" w:cs="Arial"/>
          <w:sz w:val="18"/>
        </w:rPr>
      </w:pPr>
      <w:r>
        <w:rPr>
          <w:rFonts w:eastAsia="Arial" w:cs="Arial" w:ascii="Arial" w:hAnsi="Arial"/>
          <w:b/>
          <w:i/>
          <w:color w:val="auto"/>
          <w:sz w:val="18"/>
        </w:rPr>
        <w:t xml:space="preserve">                                                                                                                             </w:t>
      </w:r>
      <w:r>
        <w:rPr>
          <w:rFonts w:eastAsia="Arial" w:cs="Arial" w:ascii="Arial" w:hAnsi="Arial"/>
          <w:b/>
          <w:i/>
          <w:color w:val="auto"/>
          <w:sz w:val="20"/>
          <w:szCs w:val="20"/>
        </w:rPr>
        <w:t xml:space="preserve">   </w:t>
      </w:r>
      <w:r>
        <w:rPr>
          <w:rFonts w:eastAsia="Arial" w:cs="Arial" w:ascii="Arial" w:hAnsi="Arial"/>
          <w:b/>
          <w:i/>
          <w:color w:val="auto"/>
          <w:sz w:val="20"/>
          <w:szCs w:val="20"/>
        </w:rPr>
        <w:t>Fortaleza (CE), Ano 202</w:t>
      </w:r>
      <w:r>
        <w:rPr>
          <w:rFonts w:eastAsia="Arial" w:cs="Arial" w:ascii="Arial" w:hAnsi="Arial"/>
          <w:b/>
          <w:i/>
          <w:color w:val="auto"/>
          <w:sz w:val="20"/>
          <w:szCs w:val="20"/>
        </w:rPr>
        <w:t>5</w:t>
      </w:r>
      <w:r>
        <w:rPr>
          <w:rFonts w:eastAsia="Arial" w:cs="Arial" w:ascii="Arial" w:hAnsi="Arial"/>
          <w:b/>
          <w:i/>
          <w:color w:val="auto"/>
          <w:sz w:val="20"/>
          <w:szCs w:val="20"/>
        </w:rPr>
        <w:t xml:space="preserve"> – Nº </w:t>
      </w:r>
      <w:r>
        <w:rPr>
          <w:rFonts w:eastAsia="Arial" w:cs="Arial" w:ascii="Arial" w:hAnsi="Arial"/>
          <w:b/>
          <w:i/>
          <w:color w:val="auto"/>
          <w:sz w:val="20"/>
          <w:szCs w:val="20"/>
        </w:rPr>
        <w:t>0</w:t>
      </w:r>
      <w:r>
        <w:rPr>
          <w:rFonts w:eastAsia="Arial" w:cs="Arial" w:ascii="Arial" w:hAnsi="Arial"/>
          <w:b/>
          <w:i/>
          <w:color w:val="auto"/>
          <w:sz w:val="20"/>
          <w:szCs w:val="20"/>
        </w:rPr>
        <w:t>9</w:t>
      </w:r>
    </w:p>
    <w:p>
      <w:pPr>
        <w:pStyle w:val="Normal"/>
        <w:spacing w:lineRule="exact" w:line="20"/>
        <w:rPr>
          <w:rFonts w:ascii="Arial" w:hAnsi="Arial" w:eastAsia="Times New Roman" w:cs="Times New Roman"/>
          <w:b/>
          <w:i/>
          <w:i/>
          <w:color w:val="4F4F4F"/>
          <w:sz w:val="24"/>
        </w:rPr>
      </w:pPr>
      <w:r>
        <w:rPr>
          <w:rFonts w:eastAsia="Times New Roman" w:cs="Times New Roman" w:ascii="Arial" w:hAnsi="Arial"/>
          <w:b/>
          <w:i/>
          <w:color w:val="4F4F4F"/>
          <w:sz w:val="24"/>
        </w:rPr>
      </w:r>
    </w:p>
    <w:p>
      <w:pPr>
        <w:pStyle w:val="Normal"/>
        <w:spacing w:lineRule="exact" w:line="200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</w:r>
    </w:p>
    <w:p>
      <w:pPr>
        <w:pStyle w:val="Normal"/>
        <w:spacing w:lineRule="exact" w:line="233"/>
        <w:rPr>
          <w:rFonts w:ascii="Arial" w:hAnsi="Arial" w:eastAsia="Times New Roman" w:cs="Times New Roman"/>
          <w:sz w:val="24"/>
        </w:rPr>
      </w:pPr>
      <w:r>
        <w:rPr>
          <w:rFonts w:eastAsia="Times New Roman" w:cs="Times New Roman" w:ascii="Arial" w:hAnsi="Arial"/>
          <w:sz w:val="24"/>
        </w:rPr>
        <w:drawing>
          <wp:anchor behindDoc="1" distT="0" distB="0" distL="114935" distR="114935" simplePos="0" locked="0" layoutInCell="1" allowOverlap="1" relativeHeight="3">
            <wp:simplePos x="0" y="0"/>
            <wp:positionH relativeFrom="column">
              <wp:posOffset>68580</wp:posOffset>
            </wp:positionH>
            <wp:positionV relativeFrom="paragraph">
              <wp:posOffset>30480</wp:posOffset>
            </wp:positionV>
            <wp:extent cx="6677660" cy="1606550"/>
            <wp:effectExtent l="0" t="0" r="0" b="0"/>
            <wp:wrapNone/>
            <wp:docPr id="2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11" r="-3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hanging="0" w:start="280" w:end="260"/>
        <w:jc w:val="both"/>
        <w:rPr/>
      </w:pPr>
      <w:r>
        <w:rPr>
          <w:rFonts w:eastAsia="Arial" w:cs="Arial" w:ascii="Arial" w:hAnsi="Arial"/>
          <w:b/>
          <w:bCs/>
          <w:color w:val="auto"/>
          <w:sz w:val="24"/>
          <w:szCs w:val="24"/>
        </w:rPr>
        <w:t xml:space="preserve">Este Informativo contém informações de decisões proferidas pelos Colegiados do TCE, que receberam indicação de relevância sob o prisma jurisprudencial no período de 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>s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>etembro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>de 202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>5</w:t>
      </w:r>
      <w:r>
        <w:rPr>
          <w:rFonts w:eastAsia="Arial" w:cs="Arial" w:ascii="Arial" w:hAnsi="Arial"/>
          <w:b/>
          <w:bCs/>
          <w:color w:val="auto"/>
          <w:sz w:val="24"/>
          <w:szCs w:val="24"/>
        </w:rPr>
        <w:t xml:space="preserve">. As informações aqui apresentadas não constituem, todavia, o resumo oficial da decisão proferida pelo Tribunal nem representam, necessariamente, o posicionamento prevalente do TCE. O objetivo é facilitar ao interessado o acompanhamento dos acórdãos mais importantes do Tribunal. Para aprofundamento, o leitor pode acessar o inteiro teor das deliberações clicando em cima do número do processo. </w:t>
      </w:r>
    </w:p>
    <w:p>
      <w:pPr>
        <w:pStyle w:val="Normal"/>
        <w:spacing w:lineRule="auto" w:line="240"/>
        <w:ind w:hanging="0" w:start="280" w:end="260"/>
        <w:jc w:val="both"/>
        <w:rPr>
          <w:rFonts w:ascii="Arial" w:hAnsi="Arial" w:eastAsia="Arial" w:cs="Arial"/>
          <w:b w:val="false"/>
          <w:bCs w:val="false"/>
          <w:color w:val="auto"/>
          <w:sz w:val="18"/>
          <w:szCs w:val="18"/>
          <w:shd w:fill="auto" w:val="clear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  <w:szCs w:val="18"/>
          <w:shd w:fill="auto" w:val="clear"/>
        </w:rPr>
      </w:r>
    </w:p>
    <w:p>
      <w:pPr>
        <w:pStyle w:val="Normal"/>
        <w:spacing w:lineRule="auto" w:line="240"/>
        <w:ind w:hanging="0" w:start="280" w:end="260"/>
        <w:jc w:val="both"/>
        <w:rPr>
          <w:rFonts w:ascii="Arial" w:hAnsi="Arial" w:eastAsia="Arial" w:cs="Arial"/>
          <w:b w:val="false"/>
          <w:bCs w:val="false"/>
          <w:color w:val="auto"/>
          <w:sz w:val="18"/>
          <w:szCs w:val="18"/>
          <w:shd w:fill="auto" w:val="clear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  <w:szCs w:val="18"/>
          <w:shd w:fill="auto" w:val="clear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 w:val="false"/>
          <w:bCs w:val="false"/>
          <w:color w:val="000000"/>
          <w:sz w:val="18"/>
          <w:szCs w:val="18"/>
          <w:shd w:fill="auto" w:val="clear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  <w:szCs w:val="18"/>
          <w:shd w:fill="auto" w:val="clear"/>
        </w:rPr>
        <w:drawing>
          <wp:anchor behindDoc="1" distT="0" distB="0" distL="114935" distR="114935" simplePos="0" locked="0" layoutInCell="1" allowOverlap="1" relativeHeight="4">
            <wp:simplePos x="0" y="0"/>
            <wp:positionH relativeFrom="column">
              <wp:posOffset>21590</wp:posOffset>
            </wp:positionH>
            <wp:positionV relativeFrom="paragraph">
              <wp:posOffset>7620</wp:posOffset>
            </wp:positionV>
            <wp:extent cx="6746875" cy="415290"/>
            <wp:effectExtent l="0" t="0" r="0" b="0"/>
            <wp:wrapNone/>
            <wp:docPr id="3" name="Figura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5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" t="-79" r="-3" b="-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hanging="0" w:start="0" w:end="0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eastAsia="Arial" w:cs="Times New Roman" w:ascii="Arial" w:hAnsi="Arial"/>
          <w:b/>
          <w:bCs/>
          <w:color w:val="FFFFFF"/>
          <w:sz w:val="22"/>
          <w:szCs w:val="22"/>
          <w:shd w:fill="auto" w:val="clear"/>
        </w:rPr>
        <w:t xml:space="preserve">ACÓRDÃO Nº </w:t>
      </w:r>
      <w:r>
        <w:rPr>
          <w:rFonts w:eastAsia="Arial" w:cs="Times New Roman" w:ascii="Arial" w:hAnsi="Arial"/>
          <w:b/>
          <w:bCs/>
          <w:color w:val="FFFFFF"/>
          <w:sz w:val="22"/>
          <w:szCs w:val="22"/>
          <w:shd w:fill="auto" w:val="clear"/>
        </w:rPr>
        <w:t>6</w:t>
      </w:r>
      <w:r>
        <w:rPr>
          <w:rFonts w:eastAsia="Arial" w:cs="Times New Roman" w:ascii="Arial" w:hAnsi="Arial"/>
          <w:b/>
          <w:bCs/>
          <w:color w:val="FFFFFF"/>
          <w:sz w:val="22"/>
          <w:szCs w:val="22"/>
          <w:shd w:fill="auto" w:val="clear"/>
        </w:rPr>
        <w:t>070/2025</w:t>
      </w:r>
      <w:r>
        <w:rPr>
          <w:rFonts w:eastAsia="Arial" w:cs="Times New Roman" w:ascii="Arial" w:hAnsi="Arial"/>
          <w:b/>
          <w:bCs/>
          <w:color w:val="000000"/>
          <w:sz w:val="22"/>
          <w:szCs w:val="22"/>
          <w:shd w:fill="auto" w:val="clear"/>
        </w:rPr>
        <w:t xml:space="preserve">  </w:t>
      </w:r>
    </w:p>
    <w:p>
      <w:pPr>
        <w:pStyle w:val="Normal"/>
        <w:spacing w:lineRule="auto" w:line="240"/>
        <w:ind w:hanging="0" w:start="0" w:end="0"/>
        <w:jc w:val="center"/>
        <w:rPr>
          <w:rFonts w:ascii="Arial" w:hAnsi="Arial" w:eastAsia="Arial" w:cs="Times New Roman"/>
          <w:b/>
          <w:bCs/>
          <w:color w:val="000000"/>
          <w:sz w:val="18"/>
          <w:szCs w:val="18"/>
          <w:shd w:fill="auto" w:val="clear"/>
        </w:rPr>
      </w:pPr>
      <w:r>
        <w:rPr>
          <w:rFonts w:eastAsia="Arial" w:cs="Times New Roman" w:ascii="Arial" w:hAnsi="Arial"/>
          <w:b/>
          <w:bCs/>
          <w:color w:val="000000"/>
          <w:sz w:val="18"/>
          <w:szCs w:val="18"/>
          <w:shd w:fill="auto" w:val="clear"/>
        </w:rPr>
      </w:r>
    </w:p>
    <w:p>
      <w:pPr>
        <w:pStyle w:val="Normal"/>
        <w:spacing w:lineRule="auto" w:line="240"/>
        <w:ind w:hanging="0" w:start="0" w:end="0"/>
        <w:jc w:val="center"/>
        <w:rPr>
          <w:rFonts w:ascii="Arial" w:hAnsi="Arial" w:eastAsia="Arial" w:cs="Times New Roman"/>
          <w:b/>
          <w:bCs/>
          <w:color w:val="000000"/>
          <w:sz w:val="18"/>
          <w:szCs w:val="18"/>
          <w:shd w:fill="auto" w:val="clear"/>
        </w:rPr>
      </w:pPr>
      <w:r>
        <w:rPr>
          <w:rFonts w:eastAsia="Arial" w:cs="Times New Roman" w:ascii="Arial" w:hAnsi="Arial"/>
          <w:b/>
          <w:bCs/>
          <w:color w:val="000000"/>
          <w:sz w:val="18"/>
          <w:szCs w:val="18"/>
          <w:shd w:fill="auto" w:val="clear"/>
        </w:rPr>
      </w:r>
    </w:p>
    <w:p>
      <w:pPr>
        <w:pStyle w:val="Normal"/>
        <w:spacing w:lineRule="auto" w:line="240"/>
        <w:jc w:val="both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bookmarkStart w:id="2" w:name="docs-internal-guid-9f5314ae-7fff-a4b3-40"/>
      <w:bookmarkEnd w:id="2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CONSULTA. MOVIMENTAÇÃO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DE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RECURSOS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FUNDEB.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DUAS CONTAS BANCÁRIAS DISTINTAS.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FOLHA DE PAGAMENTO. DESPESA COM PESSOAL.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MOVIMENTAÇÕES DO FUNDO.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INSTITUIÇÃO FINANCEIRA. POSSIBILIDADE. </w:t>
      </w:r>
    </w:p>
    <w:p>
      <w:pPr>
        <w:pStyle w:val="Normal"/>
        <w:spacing w:lineRule="auto" w:line="240"/>
        <w:jc w:val="both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auto" w:val="clear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auto" w:val="clear"/>
        </w:rPr>
      </w:r>
    </w:p>
    <w:p>
      <w:pPr>
        <w:pStyle w:val="Normal"/>
        <w:spacing w:lineRule="auto" w:line="240"/>
        <w:jc w:val="both"/>
        <w:rPr>
          <w:rFonts w:ascii="Arial" w:hAnsi="Arial"/>
          <w:color w:val="000000"/>
          <w:sz w:val="20"/>
          <w:szCs w:val="20"/>
        </w:rPr>
      </w:pPr>
      <w:bookmarkStart w:id="3" w:name="docs-internal-guid-c5a450fe-7fff-acbe-8c"/>
      <w:bookmarkEnd w:id="3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A consulta abordou a possibilidade de movimentação dos recursos do Fundo de Manutenção e Desenvolvimento da Educação Básica (Fundeb) em até duas contas bancárias específicas, considerando as exigências de transparência e rastreabilidade. Com fundamento no art. 21 da Lei nº 14.113/2020, e alterações promovidas pelas Leis nº 14.276/2021 e nº 14.711/2023, a Corte esclareceu que, a título de exceção, é permitida a manutenção de duas contas bancárias vinculadas ao Fundeb, sendo uma destinada exclusivamente ao pagamento líquido de salários dos profissionais da educação em efetivo exercício, e outra para as demais movimentações do fundo. A abertura da segunda conta exige justificativa técnica e contábil formalizada, além de contratação regular da instituição financeira, caso não seja um banco oficial, observando critérios legais, econômicos e de publicidade. Condições adicionais incluem o cumprimento das normas de transparência previstas na legislação e a vedação ao uso da segunda conta para encargos ou consignações. A decisão incorpora precedente estabelecido em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onsulta anterior.</w:t>
      </w:r>
    </w:p>
    <w:p>
      <w:pPr>
        <w:pStyle w:val="Normal"/>
        <w:spacing w:lineRule="auto" w:line="240"/>
        <w:jc w:val="both"/>
        <w:rPr>
          <w:rFonts w:ascii="Arial" w:hAnsi="Arial"/>
          <w:color w:val="auto"/>
          <w:sz w:val="18"/>
          <w:szCs w:val="18"/>
        </w:rPr>
      </w:pPr>
      <w:r>
        <w:rPr>
          <w:rFonts w:ascii="Arial" w:hAnsi="Arial"/>
          <w:color w:val="auto"/>
          <w:sz w:val="18"/>
          <w:szCs w:val="18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>
          <w:rFonts w:ascii="Arial" w:hAnsi="Arial"/>
          <w:b w:val="false"/>
          <w:bCs w:val="false"/>
          <w:color w:val="auto"/>
          <w:sz w:val="18"/>
          <w:szCs w:val="18"/>
        </w:rPr>
      </w:pP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Processo n.º 19612/2025-0.   Relator(a): Cons. Valdomiro Távora.   Sessão Pleno: 01/09/2025.   Ata n.º 245/2025.   DO: 22/09/2025.</w:t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>
          <w:rFonts w:ascii="Arial" w:hAnsi="Arial" w:eastAsia="Arial" w:cs="Times New Roman"/>
          <w:b/>
          <w:bCs/>
          <w:color w:val="C9211E"/>
          <w:sz w:val="18"/>
          <w:szCs w:val="18"/>
          <w:shd w:fill="auto" w:val="clear"/>
        </w:rPr>
      </w:pPr>
      <w:r>
        <w:rPr>
          <w:rFonts w:eastAsia="Arial" w:cs="Times New Roman" w:ascii="Arial" w:hAnsi="Arial"/>
          <w:b/>
          <w:bCs/>
          <w:color w:val="C9211E"/>
          <w:sz w:val="18"/>
          <w:szCs w:val="18"/>
          <w:shd w:fill="auto" w:val="clear"/>
        </w:rPr>
        <w:drawing>
          <wp:anchor behindDoc="1" distT="0" distB="0" distL="114935" distR="114935" simplePos="0" locked="0" layoutInCell="1" allowOverlap="1" relativeHeight="9">
            <wp:simplePos x="0" y="0"/>
            <wp:positionH relativeFrom="column">
              <wp:posOffset>-19685</wp:posOffset>
            </wp:positionH>
            <wp:positionV relativeFrom="paragraph">
              <wp:posOffset>97790</wp:posOffset>
            </wp:positionV>
            <wp:extent cx="6825615" cy="455295"/>
            <wp:effectExtent l="0" t="0" r="0" b="0"/>
            <wp:wrapNone/>
            <wp:docPr id="4" name="Figura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" t="-67" r="-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/>
        <w:ind w:hanging="0" w:start="0" w:end="0"/>
        <w:jc w:val="center"/>
        <w:rPr>
          <w:rFonts w:ascii="Arial" w:hAnsi="Arial"/>
          <w:b/>
          <w:bCs/>
          <w:color w:val="C9211E"/>
          <w:sz w:val="18"/>
          <w:szCs w:val="18"/>
          <w:lang w:val="en-US"/>
        </w:rPr>
      </w:pPr>
      <w:r>
        <w:rPr>
          <w:rFonts w:ascii="Arial" w:hAnsi="Arial"/>
          <w:b/>
          <w:bCs/>
          <w:color w:val="C9211E"/>
          <w:sz w:val="18"/>
          <w:szCs w:val="18"/>
          <w:lang w:val="en-US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center"/>
        <w:rPr>
          <w:rFonts w:ascii="Arial" w:hAnsi="Arial"/>
          <w:color w:val="C9211E"/>
        </w:rPr>
      </w:pPr>
      <w:r>
        <w:rPr>
          <w:rFonts w:eastAsia="Arial" w:cs="Times New Roman" w:ascii="Arial" w:hAnsi="Arial"/>
          <w:b/>
          <w:bCs/>
          <w:color w:val="FFFFFF"/>
          <w:sz w:val="22"/>
          <w:szCs w:val="22"/>
          <w:shd w:fill="auto" w:val="clear"/>
          <w:lang w:val="pt-BR"/>
        </w:rPr>
        <w:t>ACÓRDÃO Nº</w:t>
      </w:r>
      <w:r>
        <w:rPr>
          <w:rFonts w:eastAsia="Arial" w:cs="Times New Roman" w:ascii="Arial" w:hAnsi="Arial"/>
          <w:b/>
          <w:bCs/>
          <w:color w:val="FFFFFF"/>
          <w:sz w:val="22"/>
          <w:szCs w:val="22"/>
          <w:shd w:fill="auto" w:val="clear"/>
          <w:lang w:val="en-US"/>
        </w:rPr>
        <w:t xml:space="preserve"> </w:t>
      </w:r>
      <w:r>
        <w:rPr>
          <w:rFonts w:eastAsia="Arial" w:cs="Times New Roman" w:ascii="Arial" w:hAnsi="Arial"/>
          <w:b/>
          <w:bCs/>
          <w:color w:val="FFFFFF"/>
          <w:sz w:val="22"/>
          <w:szCs w:val="22"/>
          <w:shd w:fill="auto" w:val="clear"/>
          <w:lang w:val="en-US"/>
        </w:rPr>
        <w:t>6092/2025</w:t>
      </w:r>
      <w:r>
        <w:rPr>
          <w:rFonts w:eastAsia="Calibri" w:cs="Arial" w:ascii="Arial" w:hAnsi="Arial"/>
          <w:b/>
          <w:bCs/>
          <w:color w:val="auto"/>
          <w:sz w:val="22"/>
          <w:szCs w:val="22"/>
          <w:lang w:val="en-US"/>
        </w:rPr>
        <w:t xml:space="preserve"> </w:t>
      </w:r>
    </w:p>
    <w:p>
      <w:pPr>
        <w:pStyle w:val="Normal"/>
        <w:widowControl/>
        <w:spacing w:lineRule="auto" w:line="240" w:before="0" w:after="0"/>
        <w:ind w:hanging="0" w:start="0" w:end="0"/>
        <w:jc w:val="center"/>
        <w:rPr>
          <w:rFonts w:ascii="Arial" w:hAnsi="Arial" w:eastAsia="Calibri" w:cs="Arial"/>
          <w:b/>
          <w:bCs/>
          <w:color w:val="auto"/>
          <w:sz w:val="18"/>
          <w:szCs w:val="18"/>
          <w:lang w:val="en-US"/>
        </w:rPr>
      </w:pPr>
      <w:r>
        <w:rPr>
          <w:rFonts w:eastAsia="Calibri" w:cs="Arial" w:ascii="Arial" w:hAnsi="Arial"/>
          <w:b/>
          <w:bCs/>
          <w:color w:val="auto"/>
          <w:sz w:val="18"/>
          <w:szCs w:val="18"/>
          <w:lang w:val="en-US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>
          <w:rFonts w:ascii="Arial" w:hAnsi="Arial" w:eastAsia="Calibri" w:cs="Arial"/>
          <w:b/>
          <w:bCs/>
          <w:color w:val="C9211E"/>
          <w:sz w:val="18"/>
          <w:szCs w:val="18"/>
          <w:lang w:val="pt-BR"/>
        </w:rPr>
      </w:pPr>
      <w:r>
        <w:rPr>
          <w:rFonts w:eastAsia="Calibri" w:cs="Arial" w:ascii="Arial" w:hAnsi="Arial"/>
          <w:b/>
          <w:bCs/>
          <w:color w:val="C9211E"/>
          <w:sz w:val="18"/>
          <w:szCs w:val="18"/>
          <w:lang w:val="pt-BR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/>
      </w:pPr>
      <w:bookmarkStart w:id="4" w:name="docs-internal-guid-2b21dca7-7fff-cd8a-cd"/>
      <w:bookmarkEnd w:id="4"/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REPRESENTAÇÃO. PREGÃO ELETRÔNICO. FORNECIMENTO DE AUXÍLIO ALIMENTAÇÃO. 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OITIVA PR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É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VIA.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REVOGAÇÃO DE LICITAÇÃO. PERDA DE OBJETO. 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EXTINÇÃO DO FEITO SEM RESOLUÇÃO DE MÉRITO. ARQUIVAMENTO.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18"/>
          <w:szCs w:val="18"/>
          <w:u w:val="none"/>
          <w:effect w:val="none"/>
          <w:shd w:fill="auto" w:val="clear"/>
        </w:rPr>
      </w:pPr>
      <w:r>
        <w:rPr/>
      </w:r>
    </w:p>
    <w:p>
      <w:pPr>
        <w:pStyle w:val="Normal"/>
        <w:widowControl/>
        <w:spacing w:lineRule="auto" w:line="240"/>
        <w:ind w:hanging="0" w:start="0" w:end="0"/>
        <w:jc w:val="both"/>
        <w:rPr/>
      </w:pPr>
      <w:bookmarkStart w:id="5" w:name="docs-internal-guid-543bba65-7fff-2988-8f"/>
      <w:bookmarkEnd w:id="5"/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Trata-se de representação com indícios de irregularidades em uma licitação que tem como objeto contratação de empresa especializada em administração, gerenciamento, emissão, distribuição e fornecimento de cartões vales-alimentação. O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representante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solicitava a suspensão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do certame, via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medida cautelar, pois estaria o edital de licitação em desacordo com as normas de regência,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a exemplo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: descontos na taxa de administração gerando valores negativos, forma de pagamento pós-paga, substituição do pregão por credenciamento. A revogação do certame ocorreu durante a fase de oitiva prévia, momento em que o responsável reconheceu falhas no processo e justificou tal ato como necessário para preservar a regularidade. Amparada no artigo 28-A da Lei Orgânica do Tribunal de Contas do Ceará, a Corte reconheceu que a perda superveniente do objeto resultante da revogação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da licitação, o que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 torna desnecessária a continuidade da relação processual,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decidindo pela extinção do feito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 xml:space="preserve">sem resolução de mérito,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com o consequente arquivamento dos autos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</w:rPr>
        <w:t>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/>
      </w:r>
    </w:p>
    <w:p>
      <w:pPr>
        <w:pStyle w:val="Normal"/>
        <w:widowControl/>
        <w:spacing w:lineRule="auto" w:line="240"/>
        <w:ind w:hanging="0" w:start="0" w:end="0"/>
        <w:jc w:val="both"/>
        <w:rPr/>
      </w:pP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>P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>rocesso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 nº.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 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>16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>024/2024-4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.    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Relator (a):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>Cons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. </w:t>
      </w:r>
      <w:r>
        <w:rPr>
          <w:rStyle w:val="Strong"/>
          <w:rFonts w:eastAsia="Arial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>Ernesto Saboia</w:t>
      </w:r>
      <w:r>
        <w:rPr>
          <w:rFonts w:eastAsia="Arial" w:cs="Times New Roman" w:ascii="Arial" w:hAnsi="Arial"/>
          <w:i w:val="false"/>
          <w:caps w:val="false"/>
          <w:smallCaps w:val="false"/>
          <w:color w:val="000000"/>
          <w:spacing w:val="0"/>
          <w:sz w:val="18"/>
          <w:szCs w:val="18"/>
          <w:shd w:fill="auto" w:val="clear"/>
          <w:lang w:val="en-US"/>
        </w:rPr>
        <w:t xml:space="preserve">.     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 xml:space="preserve">Sessão Pleno: 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09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 xml:space="preserve">/09/2025.    Ata n.º 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0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6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2025.    D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O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 xml:space="preserve">: 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10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09</w:t>
      </w:r>
      <w:r>
        <w:rPr>
          <w:rFonts w:eastAsia="Arial" w:cs="Times New Roman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FFFFFF" w:val="clear"/>
          <w:lang w:val="en-US"/>
        </w:rPr>
        <w:t>/2025.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  <w:drawing>
          <wp:anchor behindDoc="1" distT="0" distB="0" distL="114935" distR="114935" simplePos="0" locked="0" layoutInCell="1" allowOverlap="1" relativeHeight="8">
            <wp:simplePos x="0" y="0"/>
            <wp:positionH relativeFrom="column">
              <wp:posOffset>-2540</wp:posOffset>
            </wp:positionH>
            <wp:positionV relativeFrom="paragraph">
              <wp:posOffset>117475</wp:posOffset>
            </wp:positionV>
            <wp:extent cx="6825615" cy="433705"/>
            <wp:effectExtent l="0" t="0" r="0" b="0"/>
            <wp:wrapNone/>
            <wp:docPr id="5" name="Figura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6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" t="-67" r="-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/>
          <w:b w:val="false"/>
          <w:bCs w:val="false"/>
          <w:color w:val="C9211E"/>
          <w:sz w:val="18"/>
          <w:szCs w:val="18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</w:rPr>
      </w:r>
    </w:p>
    <w:p>
      <w:pPr>
        <w:pStyle w:val="BodyText"/>
        <w:widowControl/>
        <w:spacing w:lineRule="auto" w:line="240" w:before="0" w:after="0"/>
        <w:ind w:hanging="0" w:start="0" w:end="0"/>
        <w:jc w:val="center"/>
        <w:rPr>
          <w:rFonts w:ascii="Arial" w:hAnsi="Arial" w:eastAsia="Arial" w:cs="Times New Roman"/>
          <w:b/>
          <w:bCs/>
          <w:i w:val="false"/>
          <w:caps w:val="false"/>
          <w:smallCaps w:val="false"/>
          <w:strike w:val="false"/>
          <w:dstrike w:val="false"/>
          <w:color w:val="FFFFFF"/>
          <w:sz w:val="22"/>
          <w:szCs w:val="22"/>
          <w:u w:val="none"/>
          <w:effect w:val="none"/>
          <w:shd w:fill="auto" w:val="clear"/>
        </w:rPr>
      </w:pPr>
      <w:bookmarkStart w:id="6" w:name="docs-internal-guid-ffb8d685-7fff-2a25-32"/>
      <w:bookmarkEnd w:id="6"/>
      <w:r>
        <w:rPr>
          <w:rFonts w:eastAsia="Arial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FFFFFF"/>
          <w:sz w:val="22"/>
          <w:szCs w:val="22"/>
          <w:u w:val="none"/>
          <w:effect w:val="none"/>
          <w:shd w:fill="auto" w:val="clear"/>
        </w:rPr>
        <w:t>ACÓRDÃO Nº 6591/2025</w:t>
      </w:r>
    </w:p>
    <w:p>
      <w:pPr>
        <w:pStyle w:val="BodyText"/>
        <w:widowControl/>
        <w:spacing w:lineRule="auto" w:line="240"/>
        <w:ind w:hanging="0" w:start="0" w:end="0"/>
        <w:jc w:val="center"/>
        <w:rPr>
          <w:rFonts w:ascii="Arial" w:hAnsi="Arial" w:eastAsia="Arial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auto" w:val="clear"/>
        </w:rPr>
      </w:pPr>
      <w:r>
        <w:rPr>
          <w:rFonts w:eastAsia="Arial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auto" w:val="clear"/>
        </w:rPr>
      </w:r>
    </w:p>
    <w:p>
      <w:pPr>
        <w:pStyle w:val="Normal"/>
        <w:widowControl/>
        <w:spacing w:lineRule="auto" w:line="240"/>
        <w:ind w:hanging="0" w:start="0" w:end="0"/>
        <w:jc w:val="both"/>
        <w:rPr/>
      </w:pPr>
      <w:bookmarkStart w:id="7" w:name="docs-internal-guid-52761252-7fff-c4f8-77"/>
      <w:bookmarkEnd w:id="7"/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TOMADA DE CONTAS ESPECIAL. OBRAS E SERVIÇOS DE ENGENHARIA.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LICITAÇÃO. EXECUÇÃO DO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CONTRATO.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SUPERFATURAMENTO.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AUSÊNCIA DE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DESCONTO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GLOBAL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. 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EQUILÍBRIO ECONÔMICO-FINANCEIRO.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DANO AO ERÁRIO. CONTAS IRREGULARES. MULTA.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Style w:val="Strong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C9211E"/>
          <w:sz w:val="18"/>
          <w:szCs w:val="18"/>
          <w:u w:val="none"/>
          <w:effect w:val="none"/>
          <w:shd w:fill="auto" w:val="clear"/>
        </w:rPr>
      </w:pPr>
      <w:r>
        <w:rPr/>
      </w:r>
    </w:p>
    <w:p>
      <w:pPr>
        <w:pStyle w:val="BodyText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20"/>
          <w:szCs w:val="20"/>
          <w:u w:val="none"/>
          <w:effect w:val="none"/>
          <w:shd w:fill="auto" w:val="clear"/>
        </w:rPr>
      </w:pPr>
      <w:bookmarkStart w:id="8" w:name="docs-internal-guid-56a61f89-7fff-1640-7b"/>
      <w:bookmarkEnd w:id="8"/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Trata-se de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omada de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C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ontas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special que apurou irregularidades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na execução de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contrato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celebrado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voltado à execução de serviços de engenharia. Foi constatada a ausência da aplicação do desconto global, originalmente ofertado na licitação, sobre os preços unitários de novos serviços incluídos por meio de aditivos contratuais. A aplicação desse desconto é essencial para garantir o equilíbrio econômico-financeiro do contrato, conforme disposto na Nova Lei de Licitações (Lei nº 14.133/2021) e reforçado por jurisprudências consolidadas. A omissão na aplicação do desconto foi classificada como superfaturamento, resultando em prejuízo ao patrimônio público. O Tribunal, ao julgar as contas irregulares, apontou a responsabilidade solidária entre o gestor público responsável e a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empresa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 contratada, determinando ainda a aplicação de multa proporcional ao dano apurado. A decisão enfatizou a obrigação de respeitar o desconto global em novos serviços acrescidos ao contrato, como forma de impedir aumentos indevidos de custos para a Administração.</w:t>
      </w:r>
    </w:p>
    <w:p>
      <w:pPr>
        <w:pStyle w:val="BodyText"/>
        <w:spacing w:lineRule="auto" w:line="240" w:before="0" w:after="0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z w:val="18"/>
          <w:szCs w:val="18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auto" w:val="clear"/>
        </w:rPr>
      </w:r>
    </w:p>
    <w:p>
      <w:pPr>
        <w:pStyle w:val="BodyText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Processo n.º 01776/2024-9.    Relator(a): Cons. Edilberto Pontes.   Sessão Pleno: 26/09/2025.    Ata n.º 24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7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/2025.    D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O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: 08/10/2025.</w:t>
      </w:r>
    </w:p>
    <w:p>
      <w:pPr>
        <w:pStyle w:val="BodyText"/>
        <w:spacing w:lineRule="auto" w:line="240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/>
          <w:b w:val="false"/>
          <w:bCs w:val="false"/>
          <w:color w:val="C9211E"/>
          <w:sz w:val="18"/>
          <w:szCs w:val="18"/>
          <w:lang w:val="en-US"/>
        </w:rPr>
      </w:pPr>
      <w:r>
        <w:drawing>
          <wp:anchor behindDoc="1" distT="0" distB="0" distL="114935" distR="114935" simplePos="0" locked="0" layoutInCell="1" allowOverlap="1" relativeHeight="11">
            <wp:simplePos x="0" y="0"/>
            <wp:positionH relativeFrom="column">
              <wp:posOffset>-2540</wp:posOffset>
            </wp:positionH>
            <wp:positionV relativeFrom="paragraph">
              <wp:posOffset>13970</wp:posOffset>
            </wp:positionV>
            <wp:extent cx="6825615" cy="433705"/>
            <wp:effectExtent l="0" t="0" r="0" b="0"/>
            <wp:wrapNone/>
            <wp:docPr id="6" name="Figura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4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" t="-67" r="-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15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  <w:color w:val="C9211E"/>
          <w:sz w:val="18"/>
          <w:szCs w:val="18"/>
          <w:lang w:val="en-US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  <w:b/>
          <w:bCs/>
          <w:color w:val="FFFFFF"/>
          <w:sz w:val="22"/>
          <w:szCs w:val="22"/>
        </w:rPr>
      </w:pPr>
      <w:bookmarkStart w:id="9" w:name="docs-internal-guid-3a6d0466-7fff-9c37-b1"/>
      <w:bookmarkEnd w:id="9"/>
      <w:r>
        <w:rPr>
          <w:rFonts w:ascii="Arial" w:hAnsi="Arial"/>
          <w:b/>
          <w:bCs/>
          <w:color w:val="FFFFFF"/>
          <w:sz w:val="22"/>
          <w:szCs w:val="22"/>
        </w:rPr>
        <w:t>ACÓRDÃO Nº 6115/2025</w:t>
      </w:r>
    </w:p>
    <w:p>
      <w:pPr>
        <w:pStyle w:val="Normal"/>
        <w:spacing w:lineRule="auto" w:line="240"/>
        <w:rPr>
          <w:rFonts w:ascii="Arial" w:hAnsi="Arial"/>
          <w:b/>
          <w:bCs/>
          <w:color w:val="FFFFFF"/>
          <w:sz w:val="18"/>
          <w:szCs w:val="18"/>
        </w:rPr>
      </w:pPr>
      <w:r>
        <w:rPr>
          <w:rFonts w:ascii="Arial" w:hAnsi="Arial"/>
          <w:b/>
          <w:bCs/>
          <w:color w:val="FFFFFF"/>
          <w:sz w:val="18"/>
          <w:szCs w:val="18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Cs/>
          <w:color w:val="FFFFFF"/>
          <w:sz w:val="18"/>
          <w:szCs w:val="18"/>
        </w:rPr>
      </w:pPr>
      <w:r>
        <w:rPr>
          <w:rFonts w:ascii="Arial" w:hAnsi="Arial"/>
          <w:b/>
          <w:bCs/>
          <w:color w:val="FFFFFF"/>
          <w:sz w:val="18"/>
          <w:szCs w:val="18"/>
        </w:rPr>
      </w:r>
    </w:p>
    <w:p>
      <w:pPr>
        <w:pStyle w:val="Normal"/>
        <w:widowControl/>
        <w:snapToGrid w:val="false"/>
        <w:spacing w:lineRule="auto" w:line="240" w:before="0" w:after="0"/>
        <w:ind w:hanging="0" w:start="0" w:end="0"/>
        <w:jc w:val="both"/>
        <w:rPr>
          <w:rFonts w:ascii="Arial" w:hAnsi="Arial"/>
          <w:b/>
          <w:sz w:val="24"/>
          <w:szCs w:val="24"/>
        </w:rPr>
      </w:pPr>
      <w:bookmarkStart w:id="10" w:name="docs-internal-guid-17f006ff-7fff-cd33-ad"/>
      <w:bookmarkEnd w:id="10"/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shd w:fill="FFFFFF" w:val="clear"/>
          <w:lang w:val="pt-BR"/>
        </w:rPr>
        <w:t xml:space="preserve">TOMADA DE CONTAS ESPECIAL. CONVÊNIO. </w:t>
      </w:r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shd w:fill="FFFFFF" w:val="clear"/>
          <w:lang w:val="pt-BR"/>
        </w:rPr>
        <w:t>KITS SANITÁRIOS</w:t>
      </w:r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shd w:fill="FFFFFF" w:val="clear"/>
          <w:lang w:val="pt-BR"/>
        </w:rPr>
        <w:t xml:space="preserve">. </w:t>
      </w:r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shd w:fill="FFFFFF" w:val="clear"/>
          <w:lang w:val="pt-BR"/>
        </w:rPr>
        <w:t xml:space="preserve">AUSÊNCIA DE NEXO DE CAUSALIDADE. </w:t>
      </w:r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shd w:fill="FFFFFF" w:val="clear"/>
          <w:lang w:val="pt-BR"/>
        </w:rPr>
        <w:t>RESPONSABILIZAÇÃO DO COORDENADOR JURÍDICO</w:t>
      </w:r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shd w:fill="FFFFFF" w:val="clear"/>
          <w:lang w:val="pt-BR"/>
        </w:rPr>
        <w:t xml:space="preserve">. </w:t>
      </w:r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shd w:fill="FFFFFF" w:val="clear"/>
          <w:lang w:val="pt-BR"/>
        </w:rPr>
        <w:t xml:space="preserve">PARECER JURÍDICO DEFICIENTE. </w:t>
      </w:r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4"/>
          <w:szCs w:val="24"/>
          <w:u w:val="none"/>
          <w:effect w:val="none"/>
          <w:shd w:fill="FFFFFF" w:val="clear"/>
          <w:lang w:val="pt-BR"/>
        </w:rPr>
        <w:t xml:space="preserve">DANO AO ERÁRIO. CONTAS IRREGULARES. MULTA. DÉBITO SOLIDÁRIO. </w:t>
      </w:r>
    </w:p>
    <w:p>
      <w:pPr>
        <w:pStyle w:val="Normal"/>
        <w:widowControl/>
        <w:snapToGrid w:val="false"/>
        <w:spacing w:lineRule="auto" w:line="240"/>
        <w:ind w:hanging="0" w:start="0" w:end="0"/>
        <w:jc w:val="both"/>
        <w:rPr>
          <w:rStyle w:val="Strong"/>
          <w:rFonts w:ascii="Arial" w:hAnsi="Arial" w:eastAsia="Calibri" w:cs="Arial"/>
          <w:i w:val="false"/>
          <w:caps w:val="false"/>
          <w:smallCaps w:val="false"/>
          <w:strike w:val="false"/>
          <w:dstrike w:val="false"/>
          <w:color w:val="C9211E"/>
          <w:spacing w:val="0"/>
          <w:kern w:val="2"/>
          <w:sz w:val="18"/>
          <w:szCs w:val="18"/>
          <w:u w:val="none"/>
          <w:effect w:val="none"/>
          <w:shd w:fill="auto" w:val="clear"/>
          <w:lang w:val="pt-BR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40" w:before="0" w:after="0"/>
        <w:jc w:val="both"/>
        <w:rPr>
          <w:rFonts w:ascii="Arial" w:hAnsi="Arial"/>
        </w:rPr>
      </w:pPr>
      <w:bookmarkStart w:id="11" w:name="docs-internal-guid-4bf216a6-7fff-fbe3-06"/>
      <w:bookmarkEnd w:id="11"/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A Tomada de Contas Especial trata de irregularidades apuradas na execução de convênio firmado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em 2010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entre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>a Secretaria das Cidades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(Scidades)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e uma associação privada visando à construção de kits sanitários destinados à população de baixa renda.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Este Tribunal já havia identificado as irregularidades, a saber: </w:t>
      </w:r>
      <w:r>
        <w:rPr>
          <w:rFonts w:ascii="Arial" w:hAnsi="Arial"/>
        </w:rPr>
        <w:t xml:space="preserve">a ausência de nexo de causalidade entre o objeto do convênio e os recursos nele empregados; despesas realizadas fora da vigência do convênio; existência de graves falhas na fiscalização.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>Superada a suspensão judicial do processo apenas quanto ao então coordenador jurídico da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>S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cidades,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>foram imputadas as seguintes falhas ao então parecerista jurídico: e</w:t>
      </w:r>
      <w:r>
        <w:rPr>
          <w:rFonts w:ascii="Arial" w:hAnsi="Arial"/>
        </w:rPr>
        <w:t xml:space="preserve">mitir parecer jurídico favorável à celebração do </w:t>
      </w:r>
      <w:r>
        <w:rPr>
          <w:rFonts w:ascii="Arial" w:hAnsi="Arial"/>
        </w:rPr>
        <w:t>c</w:t>
      </w:r>
      <w:r>
        <w:rPr>
          <w:rFonts w:ascii="Arial" w:hAnsi="Arial"/>
        </w:rPr>
        <w:t>onvênio em desatenção à Lei Estadual nº 13.553/2004 e ao Decreto Estadual nº 27.953/2005; Emitir parecer jurídico favorável à prorrogação referente ao seu 1º Aditivo, estando o convenente omisso na prestação de contas parcial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. A decisão final julgou as contas do gestor 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>jurídico irregulares</w:t>
      </w: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8"/>
          <w:u w:val="none"/>
          <w:effect w:val="none"/>
          <w:shd w:fill="auto" w:val="clear"/>
          <w:lang w:val="pt-BR"/>
        </w:rPr>
        <w:t xml:space="preserve"> e atribuiu-lhe responsabilidade solidária pelo dano ao erário, enfatizando que a emissão de parecer jurídico deve guardar relação com normas legais e princípios administrativos. Como desdobramento prático, reiterou a importância do controle interno para prevenir irregularidades na execução de convênios, servindo de orientação quanto aos riscos associados a falhas procedimentais.</w:t>
      </w:r>
    </w:p>
    <w:p>
      <w:pPr>
        <w:pStyle w:val="BodyText"/>
        <w:spacing w:lineRule="auto" w:line="240" w:before="0" w:after="0"/>
        <w:jc w:val="both"/>
        <w:rPr>
          <w:rFonts w:ascii="Arial" w:hAnsi="Arial" w:eastAsia="Arial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auto" w:val="clear"/>
          <w:lang w:val="pt-BR"/>
        </w:rPr>
      </w:pPr>
      <w:r>
        <w:rPr>
          <w:rFonts w:eastAsia="Arial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18"/>
          <w:szCs w:val="18"/>
          <w:u w:val="none"/>
          <w:effect w:val="none"/>
          <w:shd w:fill="auto" w:val="clear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  <w:t>Processo n.º 05525/2011-8.     Relator(a): Cons. Soraia Victor.     Sessão Pleno: 01/09/2025.     Ata n.º 245/2025.    DO: 22/09/2025.</w:t>
      </w:r>
    </w:p>
    <w:p>
      <w:pPr>
        <w:pStyle w:val="BodyText"/>
        <w:bidi w:val="0"/>
        <w:spacing w:lineRule="auto" w:line="240" w:before="0" w:after="0"/>
        <w:jc w:val="both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18"/>
          <w:u w:val="none"/>
          <w:effect w:val="none"/>
          <w:shd w:fill="FFFFFF" w:val="clear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>
          <w:rFonts w:ascii="Arial" w:hAnsi="Arial"/>
          <w:b w:val="false"/>
          <w:bCs w:val="false"/>
          <w:color w:val="C9211E"/>
          <w:sz w:val="18"/>
          <w:szCs w:val="18"/>
          <w:shd w:fill="auto" w:val="clear"/>
        </w:rPr>
      </w:pPr>
      <w:r>
        <w:rPr>
          <w:rFonts w:ascii="Arial" w:hAnsi="Arial"/>
          <w:b w:val="false"/>
          <w:bCs w:val="false"/>
          <w:color w:val="C9211E"/>
          <w:sz w:val="18"/>
          <w:szCs w:val="18"/>
          <w:shd w:fill="auto" w:val="clear"/>
        </w:rPr>
        <w:drawing>
          <wp:anchor behindDoc="1" distT="0" distB="0" distL="114935" distR="114935" simplePos="0" locked="0" layoutInCell="1" allowOverlap="1" relativeHeight="10">
            <wp:simplePos x="0" y="0"/>
            <wp:positionH relativeFrom="column">
              <wp:posOffset>48895</wp:posOffset>
            </wp:positionH>
            <wp:positionV relativeFrom="paragraph">
              <wp:posOffset>22225</wp:posOffset>
            </wp:positionV>
            <wp:extent cx="6844030" cy="433705"/>
            <wp:effectExtent l="0" t="0" r="0" b="0"/>
            <wp:wrapNone/>
            <wp:docPr id="7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" t="-67" r="-3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40" w:before="0" w:after="0"/>
        <w:ind w:hanging="0" w:start="0" w:end="0"/>
        <w:jc w:val="center"/>
        <w:rPr>
          <w:rFonts w:ascii="Arial" w:hAnsi="Arial" w:eastAsia="Arial" w:cs="Times New Roman"/>
          <w:b/>
          <w:bCs/>
          <w:color w:val="FFFFFF"/>
          <w:sz w:val="18"/>
          <w:szCs w:val="18"/>
          <w:shd w:fill="auto" w:val="clear"/>
        </w:rPr>
      </w:pPr>
      <w:bookmarkStart w:id="12" w:name="docs-internal-guid-1057680f-7fff-ee6f-cf"/>
      <w:bookmarkEnd w:id="12"/>
      <w:r>
        <w:rPr>
          <w:rFonts w:eastAsia="Arial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FFFFFF"/>
          <w:sz w:val="22"/>
          <w:szCs w:val="22"/>
          <w:u w:val="none"/>
          <w:effect w:val="none"/>
          <w:shd w:fill="auto" w:val="clear"/>
        </w:rPr>
        <w:t>ACÓRDÃO Nº 6114/2025</w:t>
      </w:r>
      <w:r>
        <w:rPr>
          <w:rFonts w:eastAsia="Arial" w:cs="Times New Roman" w:ascii="Arial" w:hAnsi="Arial"/>
          <w:b/>
          <w:bCs/>
          <w:color w:val="FFFFFF"/>
          <w:sz w:val="18"/>
          <w:szCs w:val="18"/>
          <w:shd w:fill="auto" w:val="clear"/>
        </w:rPr>
        <w:t xml:space="preserve"> </w:t>
      </w:r>
    </w:p>
    <w:p>
      <w:pPr>
        <w:pStyle w:val="Normal"/>
        <w:widowControl/>
        <w:spacing w:lineRule="auto" w:line="240" w:before="0" w:after="0"/>
        <w:ind w:hanging="0" w:start="0" w:end="0"/>
        <w:jc w:val="center"/>
        <w:rPr>
          <w:rFonts w:ascii="Arial" w:hAnsi="Arial" w:eastAsia="Arial" w:cs="Times New Roman"/>
          <w:b/>
          <w:bCs/>
          <w:i w:val="false"/>
          <w:caps w:val="false"/>
          <w:smallCaps w:val="false"/>
          <w:color w:val="C9211E"/>
          <w:spacing w:val="0"/>
          <w:sz w:val="18"/>
          <w:szCs w:val="18"/>
          <w:shd w:fill="auto" w:val="clear"/>
          <w:lang w:val="pt-BR"/>
        </w:rPr>
      </w:pPr>
      <w:r>
        <w:rPr>
          <w:rFonts w:eastAsia="Arial" w:cs="Times New Roman" w:ascii="Arial" w:hAnsi="Arial"/>
          <w:b/>
          <w:bCs/>
          <w:i w:val="false"/>
          <w:caps w:val="false"/>
          <w:smallCaps w:val="false"/>
          <w:color w:val="C9211E"/>
          <w:spacing w:val="0"/>
          <w:sz w:val="18"/>
          <w:szCs w:val="18"/>
          <w:shd w:fill="auto" w:val="clear"/>
          <w:lang w:val="pt-BR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center"/>
        <w:rPr>
          <w:rFonts w:ascii="Arial" w:hAnsi="Arial" w:eastAsia="Arial" w:cs="Times New Roman"/>
          <w:b/>
          <w:bCs/>
          <w:i w:val="false"/>
          <w:caps w:val="false"/>
          <w:smallCaps w:val="false"/>
          <w:color w:val="C9211E"/>
          <w:spacing w:val="0"/>
          <w:sz w:val="18"/>
          <w:szCs w:val="18"/>
          <w:shd w:fill="auto" w:val="clear"/>
          <w:lang w:val="pt-BR"/>
        </w:rPr>
      </w:pPr>
      <w:r>
        <w:rPr>
          <w:rFonts w:eastAsia="Arial" w:cs="Times New Roman" w:ascii="Arial" w:hAnsi="Arial"/>
          <w:b/>
          <w:bCs/>
          <w:i w:val="false"/>
          <w:caps w:val="false"/>
          <w:smallCaps w:val="false"/>
          <w:color w:val="C9211E"/>
          <w:spacing w:val="0"/>
          <w:sz w:val="18"/>
          <w:szCs w:val="18"/>
          <w:shd w:fill="auto" w:val="clear"/>
          <w:lang w:val="pt-BR"/>
        </w:rPr>
      </w:r>
    </w:p>
    <w:p>
      <w:pPr>
        <w:pStyle w:val="Normal"/>
        <w:widowControl/>
        <w:spacing w:lineRule="auto" w:line="240" w:before="0" w:after="0"/>
        <w:ind w:hanging="0" w:start="0" w:end="0"/>
        <w:jc w:val="both"/>
        <w:rPr>
          <w:rFonts w:ascii="Arial" w:hAnsi="Arial" w:eastAsia="Arial" w:cs="Times New Roman"/>
          <w:b w:val="false"/>
          <w:bCs w:val="false"/>
          <w:color w:val="C9211E"/>
          <w:sz w:val="18"/>
          <w:szCs w:val="18"/>
          <w:shd w:fill="auto" w:val="clear"/>
          <w:lang w:val="en-US"/>
        </w:rPr>
      </w:pPr>
      <w:bookmarkStart w:id="13" w:name="docs-internal-guid-f9aed79d-7fff-7340-04"/>
      <w:bookmarkEnd w:id="13"/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TOMADA DE CONTAS ESPECIAL. CONVÊNIO. </w:t>
      </w:r>
      <w:r>
        <w:rPr>
          <w:rStyle w:val="Strong"/>
          <w:rFonts w:eastAsia="Calibri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FALHA NO ACOMPANHAMENTO DO CONVÊNIO. PRESTAÇÕES DE CONTAS DEFICIENTES. REPASSES POSTERIORES INDEVIDOS. DANO AO ERÁRIO. MULTA.</w:t>
      </w:r>
    </w:p>
    <w:p>
      <w:pPr>
        <w:pStyle w:val="Normal"/>
        <w:widowControl/>
        <w:spacing w:lineRule="auto" w:line="240"/>
        <w:ind w:hanging="0" w:start="0" w:end="0"/>
        <w:jc w:val="both"/>
        <w:rPr>
          <w:rStyle w:val="Strong"/>
          <w:rFonts w:ascii="Arial" w:hAnsi="Arial" w:eastAsia="Calibri" w:cs="Arial"/>
          <w:i w:val="false"/>
          <w:caps w:val="false"/>
          <w:smallCaps w:val="false"/>
          <w:strike w:val="false"/>
          <w:dstrike w:val="false"/>
          <w:spacing w:val="0"/>
          <w:sz w:val="18"/>
          <w:szCs w:val="18"/>
          <w:u w:val="none"/>
          <w:effect w:val="none"/>
          <w:lang w:val="pt-BR"/>
        </w:rPr>
      </w:pPr>
      <w:r>
        <w:rPr>
          <w:rFonts w:eastAsia="Arial" w:cs="Times New Roman" w:ascii="Arial" w:hAnsi="Arial"/>
          <w:b w:val="false"/>
          <w:bCs w:val="false"/>
          <w:color w:val="C9211E"/>
          <w:sz w:val="18"/>
          <w:szCs w:val="18"/>
          <w:shd w:fill="auto" w:val="clear"/>
          <w:lang w:val="en-US"/>
        </w:rPr>
      </w:r>
    </w:p>
    <w:p>
      <w:pPr>
        <w:pStyle w:val="BodyText"/>
        <w:widowControl/>
        <w:spacing w:lineRule="auto" w:line="240" w:before="0" w:after="0"/>
        <w:ind w:hanging="0" w:start="0" w:end="0"/>
        <w:jc w:val="both"/>
        <w:rPr/>
      </w:pPr>
      <w:bookmarkStart w:id="14" w:name="docs-internal-guid-29515864-7fff-b502-8d"/>
      <w:bookmarkEnd w:id="14"/>
      <w:r>
        <w:rPr>
          <w:rStyle w:val="Strong"/>
          <w:rFonts w:eastAsia="Calibri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A Tomada de Contas Especial analisou irregularidades relacionadas ao uso de recursos públicos transferidos por meio de convênio firmado com objetivo de implementar medidas de proteção a vítimas e testemunhas ameaçadas. O processo foi instaurado em razão da ausência de comprovação da aplicação regular desses recursos. A Corte constatou falhas graves na prestação de contas, incluindo ausência de documentos essenciais, como notas fiscais e extratos bancários, e falhas no acompanhamento do convênio por parte dos gestores responsáveis, que continuaram autorizando repasses mesmo diante de irregularidades evidentes, demonstrando negligência nos procedimentos formais de controle e fiscalização, como as obrigações previstas no art. 67 da Lei nº 8.666/1993 e na Instrução Normativa de nº 01/2005. Essa Corte julgou as contas como irregulares, imputando débito </w:t>
      </w:r>
      <w:r>
        <w:rPr>
          <w:rStyle w:val="Strong"/>
          <w:rFonts w:eastAsia="Calibri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e</w:t>
      </w:r>
      <w:r>
        <w:rPr>
          <w:rStyle w:val="Strong"/>
          <w:rFonts w:eastAsia="Calibri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 xml:space="preserve"> aplicando penalidades previstas na LOTCE. Durante o julgamento, houve divergência quanto à responsabilização da gestora máxima da entidade concedente, cujo voto de desempate levou à sua exclusão da relação processual, considerando que sua atuação não envolveu acompanhamento direto das atividades do convênio. Também foi destacado o prejuízo ao contraditório e à ampla defesa para um dos citados, resultando na extinção do feito em relação a este, sem resolução de mérito. </w:t>
      </w:r>
    </w:p>
    <w:p>
      <w:pPr>
        <w:pStyle w:val="BodyText"/>
        <w:widowControl/>
        <w:spacing w:lineRule="auto" w:line="240" w:before="0" w:after="0"/>
        <w:ind w:hanging="0" w:start="0" w:end="0"/>
        <w:jc w:val="both"/>
        <w:rPr>
          <w:rStyle w:val="Strong"/>
          <w:rFonts w:ascii="Arial" w:hAnsi="Arial" w:eastAsia="Calibri" w:cs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</w:pPr>
      <w:r>
        <w:rPr/>
      </w:r>
    </w:p>
    <w:p>
      <w:pPr>
        <w:pStyle w:val="BodyText"/>
        <w:widowControl/>
        <w:spacing w:lineRule="auto" w:line="240"/>
        <w:ind w:hanging="0" w:start="0" w:end="0"/>
        <w:jc w:val="both"/>
        <w:rPr>
          <w:rFonts w:ascii="Arial" w:hAnsi="Arial" w:eastAsia="Calibri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20"/>
          <w:u w:val="none"/>
          <w:effect w:val="none"/>
          <w:shd w:fill="FFFFFF" w:val="clear"/>
        </w:rPr>
      </w:pPr>
      <w:r>
        <w:rPr>
          <w:rFonts w:eastAsia="Calibri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20"/>
          <w:u w:val="none"/>
          <w:effect w:val="none"/>
          <w:shd w:fill="FFFFFF" w:val="clear"/>
        </w:rPr>
        <w:t>Processo n.º 48899/2020-1.   Relator(a): Cons. Edilberto Pontes.   Sessão Ple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20"/>
          <w:u w:val="none"/>
          <w:effect w:val="none"/>
          <w:shd w:fill="FFFFFF" w:val="clear"/>
        </w:rPr>
        <w:t>no</w:t>
      </w:r>
      <w:r>
        <w:rPr>
          <w:rFonts w:eastAsia="Calibri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20"/>
          <w:u w:val="none"/>
          <w:effect w:val="none"/>
          <w:shd w:fill="FFFFFF" w:val="clear"/>
        </w:rPr>
        <w:t>: 01/09/2025.   Ata n.º 245/2025.   DO: 22/09/2025.</w:t>
      </w:r>
    </w:p>
    <w:p>
      <w:pPr>
        <w:pStyle w:val="BodyText"/>
        <w:widowControl/>
        <w:spacing w:lineRule="auto" w:line="240"/>
        <w:ind w:hanging="0" w:start="0" w:end="0"/>
        <w:jc w:val="both"/>
        <w:rPr>
          <w:rFonts w:ascii="Arial" w:hAnsi="Arial" w:eastAsia="Arial" w:cs="Times New Roman"/>
          <w:b w:val="false"/>
          <w:bCs w:val="false"/>
          <w:color w:val="C9211E"/>
          <w:sz w:val="18"/>
          <w:szCs w:val="18"/>
          <w:shd w:fill="auto" w:val="clear"/>
          <w:lang w:val="en-US"/>
        </w:rPr>
      </w:pPr>
      <w:r>
        <w:rPr>
          <w:rFonts w:eastAsia="Arial" w:cs="Times New Roman" w:ascii="Arial" w:hAnsi="Arial"/>
          <w:b w:val="false"/>
          <w:bCs w:val="false"/>
          <w:color w:val="C9211E"/>
          <w:sz w:val="18"/>
          <w:szCs w:val="18"/>
          <w:shd w:fill="auto" w:val="clear"/>
          <w:lang w:val="en-US"/>
        </w:rPr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 w:eastAsia="Calibri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20"/>
          <w:u w:val="none"/>
          <w:effect w:val="none"/>
          <w:shd w:fill="FFFFFF" w:val="clear"/>
          <w:lang w:val="en-US"/>
        </w:rPr>
      </w:pP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18"/>
          <w:szCs w:val="20"/>
          <w:u w:val="none"/>
          <w:effect w:val="none"/>
          <w:shd w:fill="FFFFFF" w:val="clear"/>
          <w:lang w:val="en-US"/>
        </w:rPr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 w:eastAsia="Arial" w:cs="Times New Roman"/>
          <w:b w:val="false"/>
          <w:bCs w:val="false"/>
          <w:color w:val="C9211E"/>
          <w:sz w:val="18"/>
          <w:szCs w:val="18"/>
          <w:shd w:fill="auto" w:val="clear"/>
          <w:lang w:val="en-US"/>
        </w:rPr>
      </w:pPr>
      <w:r>
        <w:rPr>
          <w:rFonts w:eastAsia="Arial" w:cs="Times New Roman" w:ascii="Arial" w:hAnsi="Arial"/>
          <w:b w:val="false"/>
          <w:bCs w:val="false"/>
          <w:color w:val="C9211E"/>
          <w:sz w:val="18"/>
          <w:szCs w:val="18"/>
          <w:shd w:fill="auto" w:val="clear"/>
          <w:lang w:val="en-US"/>
        </w:rPr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 w:eastAsia="Arial" w:cs="Times New Roman"/>
          <w:b w:val="false"/>
          <w:bCs w:val="false"/>
          <w:color w:val="C9211E"/>
          <w:sz w:val="18"/>
          <w:szCs w:val="18"/>
          <w:shd w:fill="auto" w:val="clear"/>
          <w:lang w:val="en-US"/>
        </w:rPr>
      </w:pPr>
      <w:r>
        <w:rPr>
          <w:rFonts w:eastAsia="Arial" w:cs="Times New Roman" w:ascii="Arial" w:hAnsi="Arial"/>
          <w:b w:val="false"/>
          <w:bCs w:val="false"/>
          <w:color w:val="C9211E"/>
          <w:sz w:val="18"/>
          <w:szCs w:val="18"/>
          <w:shd w:fill="auto" w:val="clear"/>
          <w:lang w:val="en-US"/>
        </w:rPr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 w:eastAsia="Arial" w:cs="Times New Roman"/>
          <w:b w:val="false"/>
          <w:bCs w:val="false"/>
          <w:color w:val="C9211E"/>
          <w:sz w:val="18"/>
          <w:szCs w:val="18"/>
          <w:shd w:fill="auto" w:val="clear"/>
          <w:lang w:val="en-US"/>
        </w:rPr>
      </w:pPr>
      <w:r>
        <w:rPr>
          <w:rFonts w:eastAsia="Arial" w:cs="Times New Roman" w:ascii="Arial" w:hAnsi="Arial"/>
          <w:b w:val="false"/>
          <w:bCs w:val="false"/>
          <w:color w:val="C9211E"/>
          <w:sz w:val="18"/>
          <w:szCs w:val="18"/>
          <w:shd w:fill="auto" w:val="clear"/>
          <w:lang w:val="en-US"/>
        </w:rPr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 w:eastAsia="Arial" w:cs="Times New Roman"/>
          <w:b w:val="false"/>
          <w:bCs w:val="false"/>
          <w:color w:val="C9211E"/>
          <w:sz w:val="18"/>
          <w:szCs w:val="18"/>
          <w:shd w:fill="auto" w:val="clear"/>
          <w:lang w:val="en-US"/>
        </w:rPr>
      </w:pPr>
      <w:r>
        <w:rPr>
          <w:rFonts w:eastAsia="Arial" w:cs="Times New Roman" w:ascii="Arial" w:hAnsi="Arial"/>
          <w:b w:val="false"/>
          <w:bCs w:val="false"/>
          <w:color w:val="C9211E"/>
          <w:sz w:val="18"/>
          <w:szCs w:val="18"/>
          <w:shd w:fill="auto" w:val="clear"/>
          <w:lang w:val="en-US"/>
        </w:rPr>
      </w:r>
    </w:p>
    <w:p>
      <w:pPr>
        <w:pStyle w:val="Normal"/>
        <w:widowControl/>
        <w:spacing w:lineRule="auto" w:line="240"/>
        <w:ind w:hanging="0" w:start="0" w:end="0"/>
        <w:jc w:val="both"/>
        <w:rPr>
          <w:rFonts w:ascii="Arial" w:hAnsi="Arial" w:eastAsia="Arial" w:cs="Times New Roman"/>
          <w:b/>
          <w:bCs/>
          <w:i w:val="false"/>
          <w:caps w:val="false"/>
          <w:smallCaps w:val="false"/>
          <w:color w:val="C9211E"/>
          <w:spacing w:val="0"/>
          <w:sz w:val="24"/>
          <w:szCs w:val="24"/>
          <w:shd w:fill="auto" w:val="clear"/>
          <w:lang w:val="en-US"/>
        </w:rPr>
      </w:pPr>
      <w:r>
        <w:rPr>
          <w:rFonts w:eastAsia="Arial" w:cs="Times New Roman" w:ascii="Arial" w:hAnsi="Arial"/>
          <w:b/>
          <w:bCs/>
          <w:i w:val="false"/>
          <w:caps w:val="false"/>
          <w:smallCaps w:val="false"/>
          <w:color w:val="C9211E"/>
          <w:spacing w:val="0"/>
          <w:sz w:val="24"/>
          <w:szCs w:val="24"/>
          <w:shd w:fill="auto" w:val="clear"/>
          <w:lang w:val="en-US"/>
        </w:rPr>
      </w:r>
    </w:p>
    <w:sectPr>
      <w:headerReference w:type="default" r:id="rId9"/>
      <w:footerReference w:type="default" r:id="rId10"/>
      <w:type w:val="nextPage"/>
      <w:pgSz w:w="11906" w:h="16838"/>
      <w:pgMar w:left="580" w:right="586" w:gutter="0" w:header="1134" w:top="1700" w:footer="918" w:bottom="14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-350520</wp:posOffset>
          </wp:positionH>
          <wp:positionV relativeFrom="paragraph">
            <wp:posOffset>152400</wp:posOffset>
          </wp:positionV>
          <wp:extent cx="7542530" cy="583565"/>
          <wp:effectExtent l="0" t="0" r="0" b="0"/>
          <wp:wrapNone/>
          <wp:docPr id="8" name="Figura1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33" r="-2" b="-33"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40"/>
      <w:ind w:hanging="0" w:start="0" w:end="0"/>
      <w:jc w:val="both"/>
      <w:rPr>
        <w:rFonts w:ascii="Arial" w:hAnsi="Arial" w:eastAsia="Arial" w:cs="Times New Roman"/>
        <w:b/>
        <w:bCs/>
        <w:color w:val="auto"/>
        <w:sz w:val="22"/>
        <w:szCs w:val="22"/>
        <w:shd w:fill="auto" w:val="clear"/>
      </w:rPr>
    </w:pPr>
    <w:r>
      <w:rPr>
        <w:rFonts w:eastAsia="Arial" w:cs="Times New Roman" w:ascii="Arial" w:hAnsi="Arial"/>
        <w:b/>
        <w:bCs/>
        <w:color w:val="000000"/>
        <w:sz w:val="22"/>
        <w:szCs w:val="22"/>
        <w:shd w:fill="auto" w:val="clear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Calibri" w:hAnsi="Calibri" w:eastAsia="Calibri" w:cs="Arial"/>
      <w:color w:val="auto"/>
      <w:sz w:val="20"/>
      <w:szCs w:val="20"/>
      <w:lang w:val="pt-BR" w:eastAsia="zh-CN" w:bidi="hi-IN"/>
    </w:rPr>
  </w:style>
  <w:style w:type="paragraph" w:styleId="Heading2">
    <w:name w:val="Heading 2"/>
    <w:basedOn w:val="Ttulo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SimSun" w:cs="Lucida Sans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SimSun" w:cs="Lucida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5370" w:leader="none"/>
        <w:tab w:val="right" w:pos="10740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5370" w:leader="none"/>
        <w:tab w:val="right" w:pos="10740" w:leader="none"/>
      </w:tabs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odecitao">
    <w:name w:val="Bloco de citação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4.jpeg"/><Relationship Id="rId7" Type="http://schemas.openxmlformats.org/officeDocument/2006/relationships/image" Target="media/image4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3479</TotalTime>
  <Application>LibreOffice/24.2.6.2$Windows_X86_64 LibreOffice_project/ef66aa7e36a1bb8e65bfbc63aba53045a14d0871</Application>
  <AppVersion>15.0000</AppVersion>
  <Pages>3</Pages>
  <Words>1146</Words>
  <Characters>7053</Characters>
  <CharactersWithSpaces>8499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2025-09-22T13:28:24Z</cp:lastPrinted>
  <dcterms:modified xsi:type="dcterms:W3CDTF">2025-12-11T15:47:06Z</dcterms:modified>
  <cp:revision>429</cp:revision>
  <dc:subject/>
  <dc:title/>
</cp:coreProperties>
</file>