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1270</wp:posOffset>
                </wp:positionH>
                <wp:positionV relativeFrom="page">
                  <wp:posOffset>779</wp:posOffset>
                </wp:positionV>
                <wp:extent cx="7538720" cy="16103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38720" cy="1610360"/>
                          <a:chExt cx="7538720" cy="161036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8720" cy="1610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000500" y="1443387"/>
                            <a:ext cx="173990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Fortaleza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CE),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Ano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2023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pt;margin-top:.061389pt;width:593.6pt;height:126.8pt;mso-position-horizontal-relative:page;mso-position-vertical-relative:page;z-index:15731200" id="docshapegroup1" coordorigin="2,1" coordsize="11872,2536">
                <v:shape style="position:absolute;left:2;top:1;width:11872;height:2536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302;top:2274;width:2740;height:242" type="#_x0000_t202" id="docshape3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Fortaleza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CE),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Ano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2023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BodyText"/>
        <w:ind w:left="3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818630" cy="1732280"/>
                <wp:effectExtent l="0" t="0" r="0" b="1269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18630" cy="1732280"/>
                          <a:chExt cx="6818630" cy="173228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8630" cy="1732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818630" cy="173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169"/>
                                <w:ind w:left="262" w:right="290" w:firstLine="0"/>
                                <w:jc w:val="both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Este Informativo contém informações de decisões proferidas pelos Colegiados do TCE, que receberam indicação de relevância sob o prisma jurisprudencial no período de janeiro de 2023. As informações aqui apresentadas não constituem, todavia, o resumo oficial da decisão proferida pelo Tribunal nem representam, necessariamente, o posicionamento prevalente do TCE. O objetivo é facilitar ao interessado o acompanhamento dos acórdãos/resoluções mais importantes do Tribunal. Para aprofundamento, o leitor pode acessar o inteiro teor das deliberações clicando em cima do número do processo.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9pt;height:136.4pt;mso-position-horizontal-relative:char;mso-position-vertical-relative:line" id="docshapegroup4" coordorigin="0,0" coordsize="10738,2728">
                <v:shape style="position:absolute;left:0;top:0;width:10738;height:2728" type="#_x0000_t75" id="docshape5" stroked="false">
                  <v:imagedata r:id="rId7" o:title=""/>
                </v:shape>
                <v:shape style="position:absolute;left:0;top:0;width:10738;height:2728" type="#_x0000_t202" id="docshape6" filled="false" stroked="false">
                  <v:textbox inset="0,0,0,0">
                    <w:txbxContent>
                      <w:p>
                        <w:pPr>
                          <w:spacing w:line="268" w:lineRule="auto" w:before="169"/>
                          <w:ind w:left="262" w:right="290" w:firstLine="0"/>
                          <w:jc w:val="both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Este Informativo contém informações de decisões proferidas pelos Colegiados do TCE, que receberam indicação de relevância sob o prisma jurisprudencial no período de janeiro de 2023. As informações aqui apresentadas não constituem, todavia, o resumo oficial da decisão proferida pelo Tribunal nem representam, necessariamente, o posicionamento prevalente do TCE. O objetivo é facilitar ao interessado o acompanhamento dos acórdãos/resoluções mais importantes do Tribunal. Para aprofundamento, o leitor pode acessar o inteiro teor das deliberações clicando em cima do número do processo.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11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529590</wp:posOffset>
                </wp:positionH>
                <wp:positionV relativeFrom="paragraph">
                  <wp:posOffset>231140</wp:posOffset>
                </wp:positionV>
                <wp:extent cx="6498590" cy="32639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498590" cy="326390"/>
                          <a:chExt cx="6498590" cy="32639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8590" cy="32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49859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5"/>
                                <w:ind w:left="115" w:right="377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190/2023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700001pt;margin-top:18.200001pt;width:511.7pt;height:25.7pt;mso-position-horizontal-relative:page;mso-position-vertical-relative:paragraph;z-index:-15728128;mso-wrap-distance-left:0;mso-wrap-distance-right:0" id="docshapegroup7" coordorigin="834,364" coordsize="10234,514">
                <v:shape style="position:absolute;left:834;top:364;width:10234;height:514" type="#_x0000_t75" id="docshape8" stroked="false">
                  <v:imagedata r:id="rId8" o:title=""/>
                </v:shape>
                <v:shape style="position:absolute;left:834;top:364;width:10234;height:514" type="#_x0000_t202" id="docshape9" filled="false" stroked="false">
                  <v:textbox inset="0,0,0,0">
                    <w:txbxContent>
                      <w:p>
                        <w:pPr>
                          <w:spacing w:before="125"/>
                          <w:ind w:left="115" w:right="377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190/2023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16"/>
        <w:rPr>
          <w:rFonts w:ascii="Times New Roman"/>
          <w:sz w:val="22"/>
        </w:rPr>
      </w:pPr>
    </w:p>
    <w:p>
      <w:pPr>
        <w:pStyle w:val="Heading1"/>
        <w:ind w:left="36" w:right="168"/>
      </w:pPr>
      <w:r>
        <w:rPr/>
        <w:t>TOMADA DE CONTAS ESPECIAL. SERVIDOR PÚBLICO. SERVIDOR TEMPORÁRIO. CONTRATAÇÃO TEMPORÁRIA SEM COMPROVAÇÃO DO EXCEPCIONAL INTERESSE PÚBLICO. NOMEAÇÃO DE PESSOAL. CARGO COMISSIONADO SEM ATRIBUIÇÕES DE DIREÇÃO, CHEFIA E ASSESSORAMENTO. REMUNERAÇÃO INFERIOR AO SALÁRIO-MÍNIMO. IRREGULAR. MULTA.</w:t>
      </w:r>
    </w:p>
    <w:p>
      <w:pPr>
        <w:pStyle w:val="BodyText"/>
        <w:spacing w:before="24"/>
        <w:rPr>
          <w:rFonts w:ascii="Arial"/>
          <w:b/>
          <w:sz w:val="22"/>
        </w:rPr>
      </w:pPr>
    </w:p>
    <w:p>
      <w:pPr>
        <w:pStyle w:val="BodyText"/>
        <w:spacing w:line="278" w:lineRule="auto"/>
        <w:ind w:left="36" w:right="170"/>
        <w:jc w:val="both"/>
      </w:pPr>
      <w:r>
        <w:rPr/>
        <w:t>Tomada de Contas Especial para apurar dano ao erário em face de irregularidade na contratação de pessoal,</w:t>
      </w:r>
      <w:r>
        <w:rPr>
          <w:spacing w:val="40"/>
        </w:rPr>
        <w:t> </w:t>
      </w:r>
      <w:r>
        <w:rPr/>
        <w:t>em face da</w:t>
      </w:r>
      <w:r>
        <w:rPr>
          <w:spacing w:val="-1"/>
        </w:rPr>
        <w:t> </w:t>
      </w:r>
      <w:r>
        <w:rPr/>
        <w:t>existência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cargos</w:t>
      </w:r>
      <w:r>
        <w:rPr>
          <w:spacing w:val="-1"/>
        </w:rPr>
        <w:t> </w:t>
      </w:r>
      <w:r>
        <w:rPr/>
        <w:t>comissionados</w:t>
      </w:r>
      <w:r>
        <w:rPr>
          <w:spacing w:val="-1"/>
        </w:rPr>
        <w:t> </w:t>
      </w:r>
      <w:r>
        <w:rPr/>
        <w:t>sem atribuições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direção, chefia e</w:t>
      </w:r>
      <w:r>
        <w:rPr>
          <w:spacing w:val="-3"/>
        </w:rPr>
        <w:t> </w:t>
      </w:r>
      <w:r>
        <w:rPr/>
        <w:t>assessoramento,</w:t>
      </w:r>
      <w:r>
        <w:rPr>
          <w:spacing w:val="-1"/>
        </w:rPr>
        <w:t> </w:t>
      </w:r>
      <w:r>
        <w:rPr/>
        <w:t>contratação de</w:t>
      </w:r>
      <w:r>
        <w:rPr>
          <w:spacing w:val="-1"/>
        </w:rPr>
        <w:t> </w:t>
      </w:r>
      <w:r>
        <w:rPr/>
        <w:t>servidores temporários para funções de natureza permanente sem a comprovação do excepcional interesse público, remuneração inferior ao salário-mínimo. O Pleno Virtual do Tribunal de Contas do Estado do Ceará acordou em: 1) julgar procedente esta Tomada de Contas Especial, considerando irregulares os atos praticados; 2) ) aplicar multa, com base no art. 62, inciso I, da LOTCE/CE e 3) intimar os responsáveis para fins de pagamento da dívida e/ou recurso à decisão deste Tribunal de Contas.</w:t>
      </w:r>
    </w:p>
    <w:p>
      <w:pPr>
        <w:pStyle w:val="BodyText"/>
        <w:spacing w:before="29"/>
      </w:pPr>
    </w:p>
    <w:p>
      <w:pPr>
        <w:tabs>
          <w:tab w:pos="8194" w:val="left" w:leader="none"/>
        </w:tabs>
        <w:spacing w:before="1"/>
        <w:ind w:left="36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6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34554/2018-0.</w:t>
      </w:r>
      <w:r>
        <w:rPr>
          <w:spacing w:val="44"/>
          <w:sz w:val="18"/>
        </w:rPr>
        <w:t> </w:t>
      </w:r>
      <w:r>
        <w:rPr>
          <w:sz w:val="18"/>
        </w:rPr>
        <w:t>Relator(a)</w:t>
      </w:r>
      <w:r>
        <w:rPr>
          <w:spacing w:val="-3"/>
          <w:sz w:val="18"/>
        </w:rPr>
        <w:t> </w:t>
      </w:r>
      <w:r>
        <w:rPr>
          <w:sz w:val="18"/>
        </w:rPr>
        <w:t>Edilberto</w:t>
      </w:r>
      <w:r>
        <w:rPr>
          <w:spacing w:val="-4"/>
          <w:sz w:val="18"/>
        </w:rPr>
        <w:t> </w:t>
      </w:r>
      <w:r>
        <w:rPr>
          <w:sz w:val="18"/>
        </w:rPr>
        <w:t>Carlos</w:t>
      </w:r>
      <w:r>
        <w:rPr>
          <w:spacing w:val="-1"/>
          <w:sz w:val="18"/>
        </w:rPr>
        <w:t> </w:t>
      </w:r>
      <w:r>
        <w:rPr>
          <w:sz w:val="18"/>
        </w:rPr>
        <w:t>Pontes</w:t>
      </w:r>
      <w:r>
        <w:rPr>
          <w:spacing w:val="-3"/>
          <w:sz w:val="18"/>
        </w:rPr>
        <w:t> </w:t>
      </w:r>
      <w:r>
        <w:rPr>
          <w:sz w:val="18"/>
        </w:rPr>
        <w:t>Lima.</w:t>
      </w:r>
      <w:r>
        <w:rPr>
          <w:spacing w:val="-4"/>
          <w:sz w:val="18"/>
        </w:rPr>
        <w:t> </w:t>
      </w:r>
      <w:r>
        <w:rPr>
          <w:sz w:val="18"/>
        </w:rPr>
        <w:t>Sessão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16/01//2023.</w:t>
      </w:r>
      <w:r>
        <w:rPr>
          <w:sz w:val="18"/>
        </w:rPr>
        <w:tab/>
        <w:t>Ata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143.</w:t>
      </w:r>
      <w:r>
        <w:rPr>
          <w:spacing w:val="-3"/>
          <w:sz w:val="18"/>
        </w:rPr>
        <w:t> </w:t>
      </w:r>
      <w:r>
        <w:rPr>
          <w:sz w:val="18"/>
        </w:rPr>
        <w:t>DO.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03/02/2023</w:t>
      </w:r>
    </w:p>
    <w:p>
      <w:pPr>
        <w:pStyle w:val="BodyText"/>
        <w:spacing w:before="1"/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1570989</wp:posOffset>
            </wp:positionH>
            <wp:positionV relativeFrom="paragraph">
              <wp:posOffset>162385</wp:posOffset>
            </wp:positionV>
            <wp:extent cx="26670" cy="15239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529590</wp:posOffset>
                </wp:positionH>
                <wp:positionV relativeFrom="paragraph">
                  <wp:posOffset>242395</wp:posOffset>
                </wp:positionV>
                <wp:extent cx="6487795" cy="3365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487795" cy="336550"/>
                          <a:chExt cx="6487795" cy="33655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7800" cy="336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487795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58" w:right="4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RESOLUÇÃO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540/2023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700001pt;margin-top:19.086231pt;width:510.85pt;height:26.5pt;mso-position-horizontal-relative:page;mso-position-vertical-relative:paragraph;z-index:-15727104;mso-wrap-distance-left:0;mso-wrap-distance-right:0" id="docshapegroup10" coordorigin="834,382" coordsize="10217,530">
                <v:shape style="position:absolute;left:834;top:381;width:10217;height:530" type="#_x0000_t75" id="docshape11" stroked="false">
                  <v:imagedata r:id="rId10" o:title=""/>
                </v:shape>
                <v:shape style="position:absolute;left:834;top:381;width:10217;height:530" type="#_x0000_t202" id="docshape12" filled="false" stroked="false">
                  <v:textbox inset="0,0,0,0">
                    <w:txbxContent>
                      <w:p>
                        <w:pPr>
                          <w:spacing w:before="69"/>
                          <w:ind w:left="58" w:right="41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RESOLUÇÃO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540/2023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3"/>
        <w:rPr>
          <w:sz w:val="18"/>
        </w:rPr>
      </w:pPr>
    </w:p>
    <w:p>
      <w:pPr>
        <w:pStyle w:val="Heading1"/>
      </w:pPr>
      <w:r>
        <w:rPr/>
        <w:t>REPRESENTAÇÃO. CONTRATO. PRESTAÇÃO DE SERVIÇOS. ALTERAÇÃO CONTRATUAL. AUSÊNCIA DE TERMO ADITIVO. SUBCONTRATAÇÃO. PAGAMENTO. CONVERSÃO EM</w:t>
      </w:r>
      <w:r>
        <w:rPr>
          <w:spacing w:val="40"/>
        </w:rPr>
        <w:t> </w:t>
      </w:r>
      <w:r>
        <w:rPr/>
        <w:t>TOMADA DE CONTAS ESPECIAL.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BodyText"/>
        <w:ind w:left="16" w:right="156"/>
        <w:jc w:val="both"/>
      </w:pPr>
      <w:r>
        <w:rPr/>
        <w:t>Representação instaurada após a realização de Inspeção Ordinária, em face de supostas irregularidades detectadas no serviço de coleta de lixo público, além do serviço de reforma de uma edificação para abrigar a nova sede da Prefeitura.</w:t>
      </w:r>
      <w:r>
        <w:rPr>
          <w:spacing w:val="40"/>
        </w:rPr>
        <w:t> </w:t>
      </w:r>
      <w:r>
        <w:rPr/>
        <w:t>A Segunda Câmara Virtual do Tribunal de Contas do Estado do Ceará resolveu, por unanimidade dos votos, receber a presente Representação, apontou com responsável o ex-Secretário de Infraestrutura, entendendo também que a empresa contratada deve ser responsabilizada, pois recebeu os recursos com o pagamento de sobrepreço e subcontratou os serviços por um valor menor do que o despendido pela administração, tendo se beneficiado da irregularidade cometida, ambos foram citados solidariamente, por conseguinte converteram o presente feito em Tomada de Contas Especial, nos termos do art. 51 da Lei Estadual nº 12.509/95.</w:t>
      </w:r>
    </w:p>
    <w:p>
      <w:pPr>
        <w:pStyle w:val="BodyText"/>
        <w:spacing w:before="3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1664970</wp:posOffset>
            </wp:positionH>
            <wp:positionV relativeFrom="paragraph">
              <wp:posOffset>127176</wp:posOffset>
            </wp:positionV>
            <wp:extent cx="27940" cy="15240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185" w:val="left" w:leader="none"/>
        </w:tabs>
        <w:spacing w:before="0"/>
        <w:ind w:left="16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2"/>
          <w:sz w:val="18"/>
        </w:rPr>
        <w:t> </w:t>
      </w:r>
      <w:r>
        <w:rPr>
          <w:sz w:val="18"/>
        </w:rPr>
        <w:t>nº</w:t>
      </w:r>
      <w:r>
        <w:rPr>
          <w:spacing w:val="47"/>
          <w:sz w:val="18"/>
        </w:rPr>
        <w:t> </w:t>
      </w:r>
      <w:r>
        <w:rPr>
          <w:sz w:val="18"/>
        </w:rPr>
        <w:t>20026/2018-4</w:t>
      </w:r>
      <w:r>
        <w:rPr>
          <w:spacing w:val="47"/>
          <w:sz w:val="18"/>
        </w:rPr>
        <w:t> </w:t>
      </w:r>
      <w:r>
        <w:rPr>
          <w:sz w:val="18"/>
        </w:rPr>
        <w:t>Relator(a)</w:t>
      </w:r>
      <w:r>
        <w:rPr>
          <w:spacing w:val="-2"/>
          <w:sz w:val="18"/>
        </w:rPr>
        <w:t> </w:t>
      </w:r>
      <w:r>
        <w:rPr>
          <w:sz w:val="18"/>
        </w:rPr>
        <w:t>Itacir</w:t>
      </w:r>
      <w:r>
        <w:rPr>
          <w:spacing w:val="-2"/>
          <w:sz w:val="18"/>
        </w:rPr>
        <w:t> </w:t>
      </w:r>
      <w:r>
        <w:rPr>
          <w:sz w:val="18"/>
        </w:rPr>
        <w:t>Todero</w:t>
      </w:r>
      <w:r>
        <w:rPr>
          <w:spacing w:val="55"/>
          <w:w w:val="150"/>
          <w:sz w:val="18"/>
        </w:rPr>
        <w:t>   </w:t>
      </w:r>
      <w:r>
        <w:rPr>
          <w:sz w:val="18"/>
        </w:rPr>
        <w:t>Sessão de</w:t>
      </w:r>
      <w:r>
        <w:rPr>
          <w:spacing w:val="47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13/01/2023.</w:t>
      </w:r>
      <w:r>
        <w:rPr>
          <w:sz w:val="18"/>
        </w:rPr>
        <w:tab/>
        <w:t>Ata</w:t>
      </w:r>
      <w:r>
        <w:rPr>
          <w:spacing w:val="45"/>
          <w:sz w:val="18"/>
        </w:rPr>
        <w:t> </w:t>
      </w:r>
      <w:r>
        <w:rPr>
          <w:sz w:val="18"/>
        </w:rPr>
        <w:t>nº</w:t>
      </w:r>
      <w:r>
        <w:rPr>
          <w:spacing w:val="46"/>
          <w:sz w:val="18"/>
        </w:rPr>
        <w:t> </w:t>
      </w:r>
      <w:r>
        <w:rPr>
          <w:sz w:val="18"/>
        </w:rPr>
        <w:t>141</w:t>
      </w:r>
      <w:r>
        <w:rPr>
          <w:spacing w:val="-1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31/01/2023</w:t>
      </w:r>
    </w:p>
    <w:p>
      <w:pPr>
        <w:spacing w:after="0"/>
        <w:jc w:val="both"/>
        <w:rPr>
          <w:sz w:val="18"/>
        </w:rPr>
        <w:sectPr>
          <w:footerReference w:type="default" r:id="rId5"/>
          <w:type w:val="continuous"/>
          <w:pgSz w:w="11910" w:h="16840"/>
          <w:pgMar w:header="0" w:footer="656" w:top="0" w:bottom="840" w:left="566" w:right="425"/>
          <w:pgNumType w:start="1"/>
        </w:sectPr>
      </w:pPr>
    </w:p>
    <w:p>
      <w:pPr>
        <w:pStyle w:val="BodyText"/>
        <w:ind w:left="270"/>
      </w:pPr>
      <w:r>
        <w:rPr/>
        <mc:AlternateContent>
          <mc:Choice Requires="wps">
            <w:drawing>
              <wp:inline distT="0" distB="0" distL="0" distR="0">
                <wp:extent cx="6498590" cy="303530"/>
                <wp:effectExtent l="0" t="0" r="0" b="127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498590" cy="303530"/>
                          <a:chExt cx="6498590" cy="3035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8590" cy="3035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498590" cy="303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377" w:right="262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398/2023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1.7pt;height:23.9pt;mso-position-horizontal-relative:char;mso-position-vertical-relative:line" id="docshapegroup13" coordorigin="0,0" coordsize="10234,478">
                <v:shape style="position:absolute;left:0;top:0;width:10234;height:478" type="#_x0000_t75" id="docshape14" stroked="false">
                  <v:imagedata r:id="rId11" o:title=""/>
                </v:shape>
                <v:shape style="position:absolute;left:0;top:0;width:10234;height:478" type="#_x0000_t202" id="docshape15" filled="false" stroked="false">
                  <v:textbox inset="0,0,0,0">
                    <w:txbxContent>
                      <w:p>
                        <w:pPr>
                          <w:spacing w:before="111"/>
                          <w:ind w:left="377" w:right="262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398/2023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rPr>
          <w:sz w:val="22"/>
        </w:rPr>
      </w:pPr>
    </w:p>
    <w:p>
      <w:pPr>
        <w:pStyle w:val="BodyText"/>
        <w:spacing w:before="15"/>
        <w:rPr>
          <w:sz w:val="22"/>
        </w:rPr>
      </w:pPr>
    </w:p>
    <w:p>
      <w:pPr>
        <w:pStyle w:val="Heading1"/>
        <w:spacing w:line="321" w:lineRule="auto"/>
        <w:ind w:right="172"/>
      </w:pPr>
      <w:r>
        <w:rPr>
          <w:color w:val="1B1B1B"/>
        </w:rPr>
        <w:t>TOMADA DE</w:t>
      </w:r>
      <w:r>
        <w:rPr>
          <w:color w:val="1B1B1B"/>
          <w:spacing w:val="-1"/>
        </w:rPr>
        <w:t> </w:t>
      </w:r>
      <w:r>
        <w:rPr>
          <w:color w:val="1B1B1B"/>
        </w:rPr>
        <w:t>CONTAS ESPECIAL. ACUMULAÇÃO DE CARGO PÚBLICO. PRESCRIÇÃO. PRESCRIÇÃO DA PRETENSÃO PUNITIVA. PRAZO. EXTINÇÃO DO PROCESSO. MÉRITO.</w:t>
      </w:r>
    </w:p>
    <w:p>
      <w:pPr>
        <w:pStyle w:val="BodyText"/>
        <w:spacing w:before="86"/>
        <w:rPr>
          <w:rFonts w:ascii="Arial"/>
          <w:b/>
          <w:sz w:val="22"/>
        </w:rPr>
      </w:pPr>
    </w:p>
    <w:p>
      <w:pPr>
        <w:pStyle w:val="BodyText"/>
        <w:spacing w:line="276" w:lineRule="auto"/>
        <w:ind w:left="36" w:right="145"/>
        <w:jc w:val="both"/>
      </w:pPr>
      <w:r>
        <w:rPr/>
        <w:t>Tomada de contas especial acerca de suposta acumulação indevida de cargos públicos remunerados. A prescrição consiste na perda da pretensão de reparar um direito violado em virtude da inércia de seu titular. No caso dos autos, considerando que a provocação que deu origem à presente Tomada de Contas Especial foi autuada na data de 10/05/2017 e tendo em vista a suspensão da contagem dos prazos prescricionais, determinada pelas Portarias nos 174/2020, 186/2020, 193/2020, 219/2020, 229/2020, 245/2020, 258/2020 e 524/2022 desta Corte, observa-se que decorreram mais de cinco de anos desde o referido dia de autuação, mesmo computando-se a suspensão de prazo determinada pelas referidas portarias. A Primeira C</w:t>
      </w:r>
      <w:r>
        <w:rPr>
          <w:color w:val="101010"/>
        </w:rPr>
        <w:t>â</w:t>
      </w:r>
      <w:r>
        <w:rPr/>
        <w:t>mara do Tribunal de Contas do Estado do Ceará, por unanimidade de votos, reconheceu a prescrição, considerando o transcurso de prazo superior a 05 (cinco) anos, desde a data da autuação da Provocação que deu origem à presente Tomada de Contas Especial até a data do presente julgamento, extinguindo o feito com resolução de mérito.</w:t>
      </w:r>
    </w:p>
    <w:p>
      <w:pPr>
        <w:pStyle w:val="BodyText"/>
        <w:spacing w:before="30"/>
      </w:pPr>
    </w:p>
    <w:p>
      <w:pPr>
        <w:tabs>
          <w:tab w:pos="8259" w:val="left" w:leader="none"/>
        </w:tabs>
        <w:spacing w:before="0"/>
        <w:ind w:left="65" w:right="0" w:firstLine="0"/>
        <w:jc w:val="both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1576069</wp:posOffset>
            </wp:positionH>
            <wp:positionV relativeFrom="paragraph">
              <wp:posOffset>145622</wp:posOffset>
            </wp:positionV>
            <wp:extent cx="27939" cy="15240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535940</wp:posOffset>
                </wp:positionH>
                <wp:positionV relativeFrom="paragraph">
                  <wp:posOffset>226902</wp:posOffset>
                </wp:positionV>
                <wp:extent cx="6498590" cy="34036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498590" cy="340360"/>
                          <a:chExt cx="6498590" cy="34036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8590" cy="34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49859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210" w:right="262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PARECER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PRÉVIO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24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200001pt;margin-top:17.866308pt;width:511.7pt;height:26.8pt;mso-position-horizontal-relative:page;mso-position-vertical-relative:paragraph;z-index:-15724544;mso-wrap-distance-left:0;mso-wrap-distance-right:0" id="docshapegroup16" coordorigin="844,357" coordsize="10234,536">
                <v:shape style="position:absolute;left:844;top:357;width:10234;height:536" type="#_x0000_t75" id="docshape17" stroked="false">
                  <v:imagedata r:id="rId12" o:title=""/>
                </v:shape>
                <v:shape style="position:absolute;left:844;top:357;width:10234;height:536" type="#_x0000_t202" id="docshape18" filled="false" stroked="false">
                  <v:textbox inset="0,0,0,0">
                    <w:txbxContent>
                      <w:p>
                        <w:pPr>
                          <w:spacing w:before="97"/>
                          <w:ind w:left="210" w:right="262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PARECER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PRÉVIO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24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2"/>
                          </w:rPr>
                          <w:t>/2023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101010"/>
          <w:sz w:val="18"/>
        </w:rPr>
        <w:t>Processo</w:t>
      </w:r>
      <w:r>
        <w:rPr>
          <w:color w:val="101010"/>
          <w:spacing w:val="-4"/>
          <w:sz w:val="18"/>
        </w:rPr>
        <w:t> </w:t>
      </w:r>
      <w:r>
        <w:rPr>
          <w:color w:val="101010"/>
          <w:sz w:val="18"/>
        </w:rPr>
        <w:t>n°</w:t>
      </w:r>
      <w:r>
        <w:rPr>
          <w:color w:val="101010"/>
          <w:spacing w:val="-4"/>
          <w:sz w:val="18"/>
        </w:rPr>
        <w:t> </w:t>
      </w:r>
      <w:r>
        <w:rPr>
          <w:color w:val="101010"/>
          <w:sz w:val="18"/>
        </w:rPr>
        <w:t>27644/2018-0</w:t>
      </w:r>
      <w:r>
        <w:rPr>
          <w:color w:val="101010"/>
          <w:spacing w:val="66"/>
          <w:w w:val="150"/>
          <w:sz w:val="18"/>
        </w:rPr>
        <w:t>  </w:t>
      </w:r>
      <w:r>
        <w:rPr>
          <w:color w:val="101010"/>
          <w:sz w:val="18"/>
        </w:rPr>
        <w:t>Relatora</w:t>
      </w:r>
      <w:r>
        <w:rPr>
          <w:color w:val="101010"/>
          <w:spacing w:val="-4"/>
          <w:sz w:val="18"/>
        </w:rPr>
        <w:t> </w:t>
      </w:r>
      <w:r>
        <w:rPr>
          <w:color w:val="101010"/>
          <w:sz w:val="18"/>
        </w:rPr>
        <w:t>Conselheira</w:t>
      </w:r>
      <w:r>
        <w:rPr>
          <w:color w:val="101010"/>
          <w:spacing w:val="-2"/>
          <w:sz w:val="18"/>
        </w:rPr>
        <w:t> </w:t>
      </w:r>
      <w:r>
        <w:rPr>
          <w:color w:val="101010"/>
          <w:sz w:val="18"/>
        </w:rPr>
        <w:t>Patrícia</w:t>
      </w:r>
      <w:r>
        <w:rPr>
          <w:color w:val="101010"/>
          <w:spacing w:val="-4"/>
          <w:sz w:val="18"/>
        </w:rPr>
        <w:t> </w:t>
      </w:r>
      <w:r>
        <w:rPr>
          <w:color w:val="101010"/>
          <w:sz w:val="18"/>
        </w:rPr>
        <w:t>Saboya.</w:t>
      </w:r>
      <w:r>
        <w:rPr>
          <w:color w:val="101010"/>
          <w:spacing w:val="43"/>
          <w:sz w:val="18"/>
        </w:rPr>
        <w:t> </w:t>
      </w:r>
      <w:r>
        <w:rPr>
          <w:color w:val="101010"/>
          <w:sz w:val="18"/>
        </w:rPr>
        <w:t>Sessão</w:t>
      </w:r>
      <w:r>
        <w:rPr>
          <w:color w:val="101010"/>
          <w:spacing w:val="-2"/>
          <w:sz w:val="18"/>
        </w:rPr>
        <w:t> </w:t>
      </w:r>
      <w:r>
        <w:rPr>
          <w:color w:val="101010"/>
          <w:sz w:val="18"/>
        </w:rPr>
        <w:t>de</w:t>
      </w:r>
      <w:r>
        <w:rPr>
          <w:color w:val="101010"/>
          <w:spacing w:val="-4"/>
          <w:sz w:val="18"/>
        </w:rPr>
        <w:t> </w:t>
      </w:r>
      <w:r>
        <w:rPr>
          <w:color w:val="101010"/>
          <w:spacing w:val="-2"/>
          <w:sz w:val="18"/>
        </w:rPr>
        <w:t>23/01//2022.</w:t>
      </w:r>
      <w:r>
        <w:rPr>
          <w:color w:val="101010"/>
          <w:sz w:val="18"/>
        </w:rPr>
        <w:tab/>
        <w:t>Ata</w:t>
      </w:r>
      <w:r>
        <w:rPr>
          <w:color w:val="101010"/>
          <w:spacing w:val="-5"/>
          <w:sz w:val="18"/>
        </w:rPr>
        <w:t> </w:t>
      </w:r>
      <w:r>
        <w:rPr>
          <w:color w:val="101010"/>
          <w:sz w:val="18"/>
        </w:rPr>
        <w:t>nº</w:t>
      </w:r>
      <w:r>
        <w:rPr>
          <w:color w:val="101010"/>
          <w:spacing w:val="-3"/>
          <w:sz w:val="18"/>
        </w:rPr>
        <w:t> </w:t>
      </w:r>
      <w:r>
        <w:rPr>
          <w:color w:val="101010"/>
          <w:sz w:val="18"/>
        </w:rPr>
        <w:t>144.</w:t>
      </w:r>
      <w:r>
        <w:rPr>
          <w:color w:val="101010"/>
          <w:spacing w:val="-2"/>
          <w:sz w:val="18"/>
        </w:rPr>
        <w:t> </w:t>
      </w:r>
      <w:r>
        <w:rPr>
          <w:color w:val="101010"/>
          <w:sz w:val="18"/>
        </w:rPr>
        <w:t>DO.</w:t>
      </w:r>
      <w:r>
        <w:rPr>
          <w:color w:val="101010"/>
          <w:spacing w:val="-2"/>
          <w:sz w:val="18"/>
        </w:rPr>
        <w:t> 13/02/2023</w:t>
      </w:r>
    </w:p>
    <w:p>
      <w:pPr>
        <w:pStyle w:val="BodyText"/>
        <w:spacing w:before="11"/>
        <w:rPr>
          <w:sz w:val="6"/>
        </w:rPr>
      </w:pPr>
    </w:p>
    <w:p>
      <w:pPr>
        <w:pStyle w:val="BodyText"/>
        <w:spacing w:before="132"/>
        <w:rPr>
          <w:sz w:val="18"/>
        </w:rPr>
      </w:pPr>
    </w:p>
    <w:p>
      <w:pPr>
        <w:pStyle w:val="Heading1"/>
        <w:ind w:left="36" w:right="138"/>
      </w:pPr>
      <w:r>
        <w:rPr>
          <w:color w:val="101010"/>
        </w:rPr>
        <w:t>PRESTAÇÃO DE CONTAS DE GOVERNO. DESPESA COM PESSOAL. </w:t>
      </w:r>
      <w:r>
        <w:rPr/>
        <w:t>DESOBEDIÊNCIA AO LIMITE DA LRF. </w:t>
      </w:r>
      <w:r>
        <w:rPr>
          <w:color w:val="101010"/>
        </w:rPr>
        <w:t>PARECER PRÉVIO. DESAPROVAÇÃO. RECOMENDAÇÃO.</w:t>
      </w:r>
    </w:p>
    <w:p>
      <w:pPr>
        <w:pStyle w:val="BodyText"/>
        <w:spacing w:before="50"/>
        <w:rPr>
          <w:rFonts w:ascii="Arial"/>
          <w:b/>
          <w:sz w:val="22"/>
        </w:rPr>
      </w:pPr>
    </w:p>
    <w:p>
      <w:pPr>
        <w:pStyle w:val="BodyText"/>
        <w:spacing w:line="242" w:lineRule="auto"/>
        <w:ind w:left="36" w:right="161"/>
        <w:jc w:val="both"/>
      </w:pPr>
      <w:r>
        <w:rPr>
          <w:color w:val="101010"/>
        </w:rPr>
        <w:t>Prestação de Contas de Governo de responsabilidade do Prefeito. A falta de obediência ao limite de 54% previsto na LRF, mesmo que a despesa com pessoal seja reconduzida no prazo legal, por si só, será suficiente para emissão de parecer Prévio pela irregularidade das contas a partir de 2019. O Tribunal de Contas do Estado do Ceará, em sessão ordinária virtual, ao examinar e discutir a matéria, por unanimidade de votos, emitiu</w:t>
      </w:r>
      <w:r>
        <w:rPr>
          <w:color w:val="101010"/>
          <w:spacing w:val="40"/>
        </w:rPr>
        <w:t> </w:t>
      </w:r>
      <w:r>
        <w:rPr>
          <w:color w:val="101010"/>
        </w:rPr>
        <w:t>Parecer Prévio Desfavorável à aprovação das Contas de Governo, considerando-as IRREGULARES, com as seguintes recomendações </w:t>
      </w:r>
      <w:r>
        <w:rPr/>
        <w:t>à atual gestão da referida municipalidade: 1. Para que envide esforços no sentido de atentar para as normas regulamentares de regência, evidenciando e comprovando a movimentação da dívida ativa em notas explicativas e 2. Dispense maior acuidade em relação ao cumprimento dos limites estabelecidos pelo art. 20 da LRF para as despesas com pessoal.</w:t>
      </w:r>
    </w:p>
    <w:p>
      <w:pPr>
        <w:pStyle w:val="BodyText"/>
        <w:spacing w:before="1"/>
      </w:pPr>
    </w:p>
    <w:p>
      <w:pPr>
        <w:tabs>
          <w:tab w:pos="8388" w:val="left" w:leader="none"/>
        </w:tabs>
        <w:spacing w:before="0"/>
        <w:ind w:left="65" w:right="0" w:firstLine="0"/>
        <w:jc w:val="both"/>
        <w:rPr>
          <w:sz w:val="18"/>
        </w:rPr>
      </w:pPr>
      <w:r>
        <w:rPr>
          <w:color w:val="1B1B1B"/>
          <w:sz w:val="18"/>
        </w:rPr>
        <w:t>Processo</w:t>
      </w:r>
      <w:r>
        <w:rPr>
          <w:color w:val="1B1B1B"/>
          <w:spacing w:val="-7"/>
          <w:sz w:val="18"/>
        </w:rPr>
        <w:t> </w:t>
      </w:r>
      <w:r>
        <w:rPr>
          <w:color w:val="1B1B1B"/>
          <w:sz w:val="18"/>
        </w:rPr>
        <w:t>n°</w:t>
      </w:r>
      <w:r>
        <w:rPr>
          <w:color w:val="1B1B1B"/>
          <w:spacing w:val="-4"/>
          <w:sz w:val="18"/>
        </w:rPr>
        <w:t> </w:t>
      </w:r>
      <w:r>
        <w:rPr>
          <w:color w:val="1B1B1B"/>
          <w:sz w:val="18"/>
        </w:rPr>
        <w:t>08858/2020-7</w:t>
      </w:r>
      <w:r>
        <w:rPr>
          <w:color w:val="1B1B1B"/>
          <w:spacing w:val="64"/>
          <w:w w:val="150"/>
          <w:sz w:val="18"/>
        </w:rPr>
        <w:t> </w:t>
      </w:r>
      <w:r>
        <w:rPr>
          <w:color w:val="1B1B1B"/>
          <w:sz w:val="18"/>
        </w:rPr>
        <w:t>Relator</w:t>
      </w:r>
      <w:r>
        <w:rPr>
          <w:color w:val="1B1B1B"/>
          <w:spacing w:val="-4"/>
          <w:sz w:val="18"/>
        </w:rPr>
        <w:t> </w:t>
      </w:r>
      <w:r>
        <w:rPr>
          <w:color w:val="1B1B1B"/>
          <w:sz w:val="18"/>
        </w:rPr>
        <w:t>Conselheiro</w:t>
      </w:r>
      <w:r>
        <w:rPr>
          <w:color w:val="1B1B1B"/>
          <w:spacing w:val="-2"/>
          <w:sz w:val="18"/>
        </w:rPr>
        <w:t> </w:t>
      </w:r>
      <w:r>
        <w:rPr>
          <w:color w:val="1B1B1B"/>
          <w:sz w:val="18"/>
        </w:rPr>
        <w:t>Rholden</w:t>
      </w:r>
      <w:r>
        <w:rPr>
          <w:color w:val="1B1B1B"/>
          <w:spacing w:val="-5"/>
          <w:sz w:val="18"/>
        </w:rPr>
        <w:t> </w:t>
      </w:r>
      <w:r>
        <w:rPr>
          <w:color w:val="1B1B1B"/>
          <w:sz w:val="18"/>
        </w:rPr>
        <w:t>Queiroz.</w:t>
      </w:r>
      <w:r>
        <w:rPr>
          <w:color w:val="1B1B1B"/>
          <w:spacing w:val="-4"/>
          <w:sz w:val="18"/>
        </w:rPr>
        <w:t> </w:t>
      </w:r>
      <w:r>
        <w:rPr>
          <w:color w:val="1B1B1B"/>
          <w:sz w:val="18"/>
        </w:rPr>
        <w:t>Sessão</w:t>
      </w:r>
      <w:r>
        <w:rPr>
          <w:color w:val="1B1B1B"/>
          <w:spacing w:val="-2"/>
          <w:sz w:val="18"/>
        </w:rPr>
        <w:t> </w:t>
      </w:r>
      <w:r>
        <w:rPr>
          <w:color w:val="1B1B1B"/>
          <w:sz w:val="18"/>
        </w:rPr>
        <w:t>de</w:t>
      </w:r>
      <w:r>
        <w:rPr>
          <w:color w:val="1B1B1B"/>
          <w:spacing w:val="-4"/>
          <w:sz w:val="18"/>
        </w:rPr>
        <w:t> </w:t>
      </w:r>
      <w:r>
        <w:rPr>
          <w:color w:val="1B1B1B"/>
          <w:spacing w:val="-2"/>
          <w:sz w:val="18"/>
        </w:rPr>
        <w:t>23/01//2022.</w:t>
      </w:r>
      <w:r>
        <w:rPr>
          <w:color w:val="1B1B1B"/>
          <w:sz w:val="18"/>
        </w:rPr>
        <w:tab/>
        <w:t>Ata</w:t>
      </w:r>
      <w:r>
        <w:rPr>
          <w:color w:val="1B1B1B"/>
          <w:spacing w:val="-2"/>
          <w:sz w:val="18"/>
        </w:rPr>
        <w:t> </w:t>
      </w:r>
      <w:r>
        <w:rPr>
          <w:color w:val="1B1B1B"/>
          <w:sz w:val="18"/>
        </w:rPr>
        <w:t>nº</w:t>
      </w:r>
      <w:r>
        <w:rPr>
          <w:color w:val="1B1B1B"/>
          <w:spacing w:val="-3"/>
          <w:sz w:val="18"/>
        </w:rPr>
        <w:t> </w:t>
      </w:r>
      <w:r>
        <w:rPr>
          <w:color w:val="1B1B1B"/>
          <w:sz w:val="18"/>
        </w:rPr>
        <w:t>144.</w:t>
      </w:r>
      <w:r>
        <w:rPr>
          <w:color w:val="1B1B1B"/>
          <w:spacing w:val="-2"/>
          <w:sz w:val="18"/>
        </w:rPr>
        <w:t> </w:t>
      </w:r>
      <w:r>
        <w:rPr>
          <w:color w:val="1B1B1B"/>
          <w:sz w:val="18"/>
        </w:rPr>
        <w:t>DO.</w:t>
      </w:r>
      <w:r>
        <w:rPr>
          <w:color w:val="1B1B1B"/>
          <w:spacing w:val="-3"/>
          <w:sz w:val="18"/>
        </w:rPr>
        <w:t> </w:t>
      </w:r>
      <w:r>
        <w:rPr>
          <w:color w:val="1B1B1B"/>
          <w:spacing w:val="-2"/>
          <w:sz w:val="18"/>
        </w:rPr>
        <w:t>28/02/23.</w:t>
      </w:r>
    </w:p>
    <w:p>
      <w:pPr>
        <w:pStyle w:val="BodyText"/>
        <w:spacing w:before="10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535940</wp:posOffset>
                </wp:positionH>
                <wp:positionV relativeFrom="paragraph">
                  <wp:posOffset>231061</wp:posOffset>
                </wp:positionV>
                <wp:extent cx="6498590" cy="35560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498590" cy="355600"/>
                          <a:chExt cx="6498590" cy="35560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8590" cy="355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498590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115" w:right="27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PARECER PRÉVIO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5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18/2023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200001pt;margin-top:18.193848pt;width:511.7pt;height:28pt;mso-position-horizontal-relative:page;mso-position-vertical-relative:paragraph;z-index:-15724032;mso-wrap-distance-left:0;mso-wrap-distance-right:0" id="docshapegroup19" coordorigin="844,364" coordsize="10234,560">
                <v:shape style="position:absolute;left:844;top:363;width:10234;height:560" type="#_x0000_t75" id="docshape20" stroked="false">
                  <v:imagedata r:id="rId13" o:title=""/>
                </v:shape>
                <v:shape style="position:absolute;left:844;top:363;width:10234;height:560" type="#_x0000_t202" id="docshape21" filled="false" stroked="false">
                  <v:textbox inset="0,0,0,0">
                    <w:txbxContent>
                      <w:p>
                        <w:pPr>
                          <w:spacing w:before="91"/>
                          <w:ind w:left="115" w:right="271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PARECER PRÉVIO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58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18/2023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8"/>
        <w:rPr>
          <w:sz w:val="22"/>
        </w:rPr>
      </w:pPr>
    </w:p>
    <w:p>
      <w:pPr>
        <w:pStyle w:val="Heading1"/>
        <w:spacing w:line="290" w:lineRule="auto"/>
        <w:ind w:left="36"/>
      </w:pPr>
      <w:r>
        <w:rPr>
          <w:color w:val="101010"/>
        </w:rPr>
        <w:t>PRESTAÇÃO DE CONTAS DE GOVERNO. </w:t>
      </w:r>
      <w:r>
        <w:rPr>
          <w:color w:val="333333"/>
        </w:rPr>
        <w:t>EQUILÍBRIO ECONÔMICO-FINANCEIRO. DESOBEDIÊNCIA AO LIMITE DA LRF. </w:t>
      </w:r>
      <w:r>
        <w:rPr>
          <w:color w:val="101010"/>
        </w:rPr>
        <w:t>PARECER PRÉVIO. APROVAÇÃO. RESSALVA. RECOMENDAÇÃO.</w:t>
      </w:r>
    </w:p>
    <w:p>
      <w:pPr>
        <w:pStyle w:val="BodyText"/>
        <w:spacing w:line="268" w:lineRule="auto" w:before="171"/>
        <w:ind w:left="36" w:right="170"/>
        <w:jc w:val="both"/>
      </w:pPr>
      <w:r>
        <w:rPr>
          <w:color w:val="101010"/>
        </w:rPr>
        <w:t>Prestação de Contas de Governo de responsabilidade do Prefeito. É dever do gestor zelar pela transparência e o exercício do controle externo. Além do mais, dever haver esforço da Administração municipal em promover ações administrativas ou judiciais a intensificação da cobrança da Dívida Ativa. O Tribunal de Contas do Estado do Ceará, em sessão</w:t>
      </w:r>
      <w:r>
        <w:rPr>
          <w:color w:val="101010"/>
          <w:spacing w:val="-1"/>
        </w:rPr>
        <w:t> </w:t>
      </w:r>
      <w:r>
        <w:rPr>
          <w:color w:val="101010"/>
        </w:rPr>
        <w:t>ordinária</w:t>
      </w:r>
      <w:r>
        <w:rPr>
          <w:color w:val="101010"/>
          <w:spacing w:val="-1"/>
        </w:rPr>
        <w:t> </w:t>
      </w:r>
      <w:r>
        <w:rPr>
          <w:color w:val="101010"/>
        </w:rPr>
        <w:t>do</w:t>
      </w:r>
      <w:r>
        <w:rPr>
          <w:color w:val="101010"/>
          <w:spacing w:val="-1"/>
        </w:rPr>
        <w:t> </w:t>
      </w:r>
      <w:r>
        <w:rPr>
          <w:color w:val="101010"/>
        </w:rPr>
        <w:t>Pleno</w:t>
      </w:r>
      <w:r>
        <w:rPr>
          <w:color w:val="101010"/>
          <w:spacing w:val="-1"/>
        </w:rPr>
        <w:t> </w:t>
      </w:r>
      <w:r>
        <w:rPr>
          <w:color w:val="101010"/>
        </w:rPr>
        <w:t>Virtual,</w:t>
      </w:r>
      <w:r>
        <w:rPr>
          <w:color w:val="101010"/>
          <w:spacing w:val="-1"/>
        </w:rPr>
        <w:t> </w:t>
      </w:r>
      <w:r>
        <w:rPr>
          <w:color w:val="101010"/>
        </w:rPr>
        <w:t>por unanimidade</w:t>
      </w:r>
      <w:r>
        <w:rPr>
          <w:color w:val="101010"/>
          <w:spacing w:val="-1"/>
        </w:rPr>
        <w:t> </w:t>
      </w:r>
      <w:r>
        <w:rPr>
          <w:color w:val="101010"/>
        </w:rPr>
        <w:t>dos</w:t>
      </w:r>
      <w:r>
        <w:rPr>
          <w:color w:val="101010"/>
          <w:spacing w:val="-1"/>
        </w:rPr>
        <w:t> </w:t>
      </w:r>
      <w:r>
        <w:rPr>
          <w:color w:val="101010"/>
        </w:rPr>
        <w:t>votos, emitiu Parecer Prévio,</w:t>
      </w:r>
      <w:r>
        <w:rPr>
          <w:color w:val="101010"/>
          <w:spacing w:val="-1"/>
        </w:rPr>
        <w:t> </w:t>
      </w:r>
      <w:r>
        <w:rPr>
          <w:color w:val="101010"/>
        </w:rPr>
        <w:t>favorável</w:t>
      </w:r>
      <w:r>
        <w:rPr>
          <w:color w:val="101010"/>
          <w:spacing w:val="-2"/>
        </w:rPr>
        <w:t> </w:t>
      </w:r>
      <w:r>
        <w:rPr>
          <w:color w:val="101010"/>
        </w:rPr>
        <w:t>à</w:t>
      </w:r>
      <w:r>
        <w:rPr>
          <w:color w:val="101010"/>
          <w:spacing w:val="-1"/>
        </w:rPr>
        <w:t> </w:t>
      </w:r>
      <w:r>
        <w:rPr>
          <w:color w:val="101010"/>
        </w:rPr>
        <w:t>aprovação</w:t>
      </w:r>
      <w:r>
        <w:rPr>
          <w:color w:val="101010"/>
          <w:spacing w:val="-1"/>
        </w:rPr>
        <w:t> </w:t>
      </w:r>
      <w:r>
        <w:rPr>
          <w:color w:val="101010"/>
        </w:rPr>
        <w:t>das Contas, com ressalvas e recomendações.</w:t>
      </w:r>
    </w:p>
    <w:p>
      <w:pPr>
        <w:tabs>
          <w:tab w:pos="8408" w:val="left" w:leader="none"/>
        </w:tabs>
        <w:spacing w:before="205"/>
        <w:ind w:left="65" w:right="0" w:firstLine="0"/>
        <w:jc w:val="both"/>
        <w:rPr>
          <w:sz w:val="18"/>
        </w:rPr>
      </w:pPr>
      <w:r>
        <w:rPr>
          <w:color w:val="1B1B1B"/>
          <w:sz w:val="18"/>
        </w:rPr>
        <w:t>Processo</w:t>
      </w:r>
      <w:r>
        <w:rPr>
          <w:color w:val="1B1B1B"/>
          <w:spacing w:val="-7"/>
          <w:sz w:val="18"/>
        </w:rPr>
        <w:t> </w:t>
      </w:r>
      <w:r>
        <w:rPr>
          <w:color w:val="1B1B1B"/>
          <w:sz w:val="18"/>
        </w:rPr>
        <w:t>n°</w:t>
      </w:r>
      <w:r>
        <w:rPr>
          <w:color w:val="1B1B1B"/>
          <w:spacing w:val="-5"/>
          <w:sz w:val="18"/>
        </w:rPr>
        <w:t> </w:t>
      </w:r>
      <w:r>
        <w:rPr>
          <w:color w:val="1B1B1B"/>
          <w:sz w:val="18"/>
        </w:rPr>
        <w:t>09028/2020-4</w:t>
      </w:r>
      <w:r>
        <w:rPr>
          <w:color w:val="1B1B1B"/>
          <w:spacing w:val="62"/>
          <w:w w:val="150"/>
          <w:sz w:val="18"/>
        </w:rPr>
        <w:t> </w:t>
      </w:r>
      <w:r>
        <w:rPr>
          <w:color w:val="1B1B1B"/>
          <w:sz w:val="18"/>
        </w:rPr>
        <w:t>Relatora</w:t>
      </w:r>
      <w:r>
        <w:rPr>
          <w:color w:val="1B1B1B"/>
          <w:spacing w:val="-5"/>
          <w:sz w:val="18"/>
        </w:rPr>
        <w:t> </w:t>
      </w:r>
      <w:r>
        <w:rPr>
          <w:color w:val="1B1B1B"/>
          <w:sz w:val="18"/>
        </w:rPr>
        <w:t>Conselheira</w:t>
      </w:r>
      <w:r>
        <w:rPr>
          <w:color w:val="1B1B1B"/>
          <w:spacing w:val="-3"/>
          <w:sz w:val="18"/>
        </w:rPr>
        <w:t> </w:t>
      </w:r>
      <w:r>
        <w:rPr>
          <w:color w:val="1B1B1B"/>
          <w:sz w:val="18"/>
        </w:rPr>
        <w:t>Patrícia</w:t>
      </w:r>
      <w:r>
        <w:rPr>
          <w:color w:val="1B1B1B"/>
          <w:spacing w:val="-5"/>
          <w:sz w:val="18"/>
        </w:rPr>
        <w:t> </w:t>
      </w:r>
      <w:r>
        <w:rPr>
          <w:color w:val="1B1B1B"/>
          <w:sz w:val="18"/>
        </w:rPr>
        <w:t>Saboya.</w:t>
      </w:r>
      <w:r>
        <w:rPr>
          <w:color w:val="1B1B1B"/>
          <w:spacing w:val="-5"/>
          <w:sz w:val="18"/>
        </w:rPr>
        <w:t> </w:t>
      </w:r>
      <w:r>
        <w:rPr>
          <w:color w:val="1B1B1B"/>
          <w:sz w:val="18"/>
        </w:rPr>
        <w:t>Sessão</w:t>
      </w:r>
      <w:r>
        <w:rPr>
          <w:color w:val="1B1B1B"/>
          <w:spacing w:val="-3"/>
          <w:sz w:val="18"/>
        </w:rPr>
        <w:t> </w:t>
      </w:r>
      <w:r>
        <w:rPr>
          <w:color w:val="1B1B1B"/>
          <w:sz w:val="18"/>
        </w:rPr>
        <w:t>de</w:t>
      </w:r>
      <w:r>
        <w:rPr>
          <w:color w:val="1B1B1B"/>
          <w:spacing w:val="-4"/>
          <w:sz w:val="18"/>
        </w:rPr>
        <w:t> </w:t>
      </w:r>
      <w:r>
        <w:rPr>
          <w:color w:val="1B1B1B"/>
          <w:spacing w:val="-2"/>
          <w:sz w:val="18"/>
        </w:rPr>
        <w:t>09/01//2023.</w:t>
      </w:r>
      <w:r>
        <w:rPr>
          <w:color w:val="1B1B1B"/>
          <w:sz w:val="18"/>
        </w:rPr>
        <w:tab/>
        <w:t>Ata</w:t>
      </w:r>
      <w:r>
        <w:rPr>
          <w:color w:val="1B1B1B"/>
          <w:spacing w:val="-3"/>
          <w:sz w:val="18"/>
        </w:rPr>
        <w:t> </w:t>
      </w:r>
      <w:r>
        <w:rPr>
          <w:color w:val="1B1B1B"/>
          <w:sz w:val="18"/>
        </w:rPr>
        <w:t>nº</w:t>
      </w:r>
      <w:r>
        <w:rPr>
          <w:color w:val="1B1B1B"/>
          <w:spacing w:val="-3"/>
          <w:sz w:val="18"/>
        </w:rPr>
        <w:t> </w:t>
      </w:r>
      <w:r>
        <w:rPr>
          <w:color w:val="1B1B1B"/>
          <w:sz w:val="18"/>
        </w:rPr>
        <w:t>142.</w:t>
      </w:r>
      <w:r>
        <w:rPr>
          <w:color w:val="1B1B1B"/>
          <w:spacing w:val="-2"/>
          <w:sz w:val="18"/>
        </w:rPr>
        <w:t> </w:t>
      </w:r>
      <w:r>
        <w:rPr>
          <w:color w:val="1B1B1B"/>
          <w:sz w:val="18"/>
        </w:rPr>
        <w:t>DO.</w:t>
      </w:r>
      <w:r>
        <w:rPr>
          <w:color w:val="1B1B1B"/>
          <w:spacing w:val="-2"/>
          <w:sz w:val="18"/>
        </w:rPr>
        <w:t> 03/02/23.</w:t>
      </w:r>
    </w:p>
    <w:p>
      <w:pPr>
        <w:spacing w:after="0"/>
        <w:jc w:val="both"/>
        <w:rPr>
          <w:sz w:val="18"/>
        </w:rPr>
        <w:sectPr>
          <w:pgSz w:w="11910" w:h="16840"/>
          <w:pgMar w:header="0" w:footer="656" w:top="960" w:bottom="860" w:left="566" w:right="425"/>
        </w:sectPr>
      </w:pPr>
    </w:p>
    <w:p>
      <w:pPr>
        <w:pStyle w:val="BodyText"/>
        <w:ind w:left="278"/>
      </w:pPr>
      <w:r>
        <w:rPr/>
        <mc:AlternateContent>
          <mc:Choice Requires="wps">
            <w:drawing>
              <wp:inline distT="0" distB="0" distL="0" distR="0">
                <wp:extent cx="6498590" cy="331470"/>
                <wp:effectExtent l="0" t="0" r="0" b="1904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498590" cy="331470"/>
                          <a:chExt cx="6498590" cy="33147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8590" cy="331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649859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1"/>
                                <w:ind w:left="207" w:right="262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RESOLUÇÃO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984/202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1.7pt;height:26.1pt;mso-position-horizontal-relative:char;mso-position-vertical-relative:line" id="docshapegroup22" coordorigin="0,0" coordsize="10234,522">
                <v:shape style="position:absolute;left:0;top:0;width:10234;height:522" type="#_x0000_t75" id="docshape23" stroked="false">
                  <v:imagedata r:id="rId13" o:title=""/>
                </v:shape>
                <v:shape style="position:absolute;left:0;top:0;width:10234;height:522" type="#_x0000_t202" id="docshape24" filled="false" stroked="false">
                  <v:textbox inset="0,0,0,0">
                    <w:txbxContent>
                      <w:p>
                        <w:pPr>
                          <w:spacing w:before="161"/>
                          <w:ind w:left="207" w:right="262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RESOLUÇÃO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984/202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78"/>
        <w:rPr>
          <w:sz w:val="22"/>
        </w:rPr>
      </w:pPr>
    </w:p>
    <w:p>
      <w:pPr>
        <w:pStyle w:val="Heading1"/>
        <w:ind w:right="145"/>
      </w:pPr>
      <w:r>
        <w:rPr>
          <w:color w:val="101010"/>
        </w:rPr>
        <w:t>REPRESENTAÇÃO. DISPENSA DE LICITAÇÃO. AUSÊNCIA DE PROVA DOCUMENTAL. AUSÊNCIA DE NEXO DE CAUSALIDADE ENTRE A CONDUTA DO AGENTE E O ILÍCITO. EXCLUSÃO DE RESPONSABILIDADE. MULTA.</w:t>
      </w:r>
    </w:p>
    <w:p>
      <w:pPr>
        <w:pStyle w:val="BodyText"/>
        <w:spacing w:before="23"/>
        <w:rPr>
          <w:rFonts w:ascii="Arial"/>
          <w:b/>
          <w:sz w:val="22"/>
        </w:rPr>
      </w:pPr>
    </w:p>
    <w:p>
      <w:pPr>
        <w:pStyle w:val="BodyText"/>
        <w:ind w:left="16" w:right="156"/>
        <w:jc w:val="both"/>
      </w:pPr>
      <w:r>
        <w:rPr>
          <w:color w:val="101010"/>
        </w:rPr>
        <w:t>Representação visando apurar supostas irregularidades, na documentação referente à omissão da documentação pertinente à contratação dos credores, bem como a não identificação sobre quais empenhos se relacionavam. A Segunda Câmara Virtual do Tribunal de Contas do Estado do Ceará, julgou parcialmente procedente, aplicando multa, em vista da omissão da nota fiscal, com base no art. 56, X da LOTCM. Ademais, determinou a atual gestão que instrua os processos de dispensa, no que couber, com elementos caracterizando a situação emergencial, calamitosa ou de grave iminente risco à segurança pública.</w:t>
      </w:r>
    </w:p>
    <w:p>
      <w:pPr>
        <w:pStyle w:val="BodyText"/>
        <w:spacing w:before="1"/>
      </w:pPr>
    </w:p>
    <w:p>
      <w:pPr>
        <w:tabs>
          <w:tab w:pos="8451" w:val="left" w:leader="none"/>
        </w:tabs>
        <w:spacing w:before="0"/>
        <w:ind w:left="16" w:right="0" w:firstLine="0"/>
        <w:jc w:val="both"/>
        <w:rPr>
          <w:sz w:val="18"/>
        </w:rPr>
      </w:pPr>
      <w:r>
        <w:rPr>
          <w:color w:val="1B1B1B"/>
          <w:sz w:val="18"/>
        </w:rPr>
        <w:t>Processo</w:t>
      </w:r>
      <w:r>
        <w:rPr>
          <w:color w:val="1B1B1B"/>
          <w:spacing w:val="-8"/>
          <w:sz w:val="18"/>
        </w:rPr>
        <w:t> </w:t>
      </w:r>
      <w:r>
        <w:rPr>
          <w:color w:val="1B1B1B"/>
          <w:sz w:val="18"/>
        </w:rPr>
        <w:t>n°</w:t>
      </w:r>
      <w:r>
        <w:rPr>
          <w:color w:val="1B1B1B"/>
          <w:spacing w:val="-5"/>
          <w:sz w:val="18"/>
        </w:rPr>
        <w:t> </w:t>
      </w:r>
      <w:r>
        <w:rPr>
          <w:color w:val="1B1B1B"/>
          <w:sz w:val="18"/>
        </w:rPr>
        <w:t>20317/2018-4</w:t>
      </w:r>
      <w:r>
        <w:rPr>
          <w:color w:val="1B1B1B"/>
          <w:spacing w:val="41"/>
          <w:sz w:val="18"/>
        </w:rPr>
        <w:t> </w:t>
      </w:r>
      <w:r>
        <w:rPr>
          <w:color w:val="1B1B1B"/>
          <w:sz w:val="18"/>
        </w:rPr>
        <w:t>Relatora</w:t>
      </w:r>
      <w:r>
        <w:rPr>
          <w:color w:val="1B1B1B"/>
          <w:spacing w:val="-5"/>
          <w:sz w:val="18"/>
        </w:rPr>
        <w:t> </w:t>
      </w:r>
      <w:r>
        <w:rPr>
          <w:color w:val="1B1B1B"/>
          <w:sz w:val="18"/>
        </w:rPr>
        <w:t>Conselheiro</w:t>
      </w:r>
      <w:r>
        <w:rPr>
          <w:color w:val="1B1B1B"/>
          <w:spacing w:val="-3"/>
          <w:sz w:val="18"/>
        </w:rPr>
        <w:t> </w:t>
      </w:r>
      <w:r>
        <w:rPr>
          <w:color w:val="1B1B1B"/>
          <w:sz w:val="18"/>
        </w:rPr>
        <w:t>Substituto</w:t>
      </w:r>
      <w:r>
        <w:rPr>
          <w:color w:val="1B1B1B"/>
          <w:spacing w:val="-5"/>
          <w:sz w:val="18"/>
        </w:rPr>
        <w:t> </w:t>
      </w:r>
      <w:r>
        <w:rPr>
          <w:color w:val="1B1B1B"/>
          <w:sz w:val="18"/>
        </w:rPr>
        <w:t>Itacir</w:t>
      </w:r>
      <w:r>
        <w:rPr>
          <w:color w:val="1B1B1B"/>
          <w:spacing w:val="-5"/>
          <w:sz w:val="18"/>
        </w:rPr>
        <w:t> </w:t>
      </w:r>
      <w:r>
        <w:rPr>
          <w:color w:val="1B1B1B"/>
          <w:sz w:val="18"/>
        </w:rPr>
        <w:t>Todero.</w:t>
      </w:r>
      <w:r>
        <w:rPr>
          <w:color w:val="1B1B1B"/>
          <w:spacing w:val="-3"/>
          <w:sz w:val="18"/>
        </w:rPr>
        <w:t> </w:t>
      </w:r>
      <w:r>
        <w:rPr>
          <w:color w:val="1B1B1B"/>
          <w:sz w:val="18"/>
        </w:rPr>
        <w:t>Sessão</w:t>
      </w:r>
      <w:r>
        <w:rPr>
          <w:color w:val="1B1B1B"/>
          <w:spacing w:val="-5"/>
          <w:sz w:val="18"/>
        </w:rPr>
        <w:t> </w:t>
      </w:r>
      <w:r>
        <w:rPr>
          <w:color w:val="1B1B1B"/>
          <w:sz w:val="18"/>
        </w:rPr>
        <w:t>de</w:t>
      </w:r>
      <w:r>
        <w:rPr>
          <w:color w:val="1B1B1B"/>
          <w:spacing w:val="-4"/>
          <w:sz w:val="18"/>
        </w:rPr>
        <w:t> </w:t>
      </w:r>
      <w:r>
        <w:rPr>
          <w:color w:val="101010"/>
          <w:spacing w:val="-2"/>
          <w:sz w:val="18"/>
        </w:rPr>
        <w:t>23/01//2023.</w:t>
      </w:r>
      <w:r>
        <w:rPr>
          <w:color w:val="101010"/>
          <w:sz w:val="18"/>
        </w:rPr>
        <w:tab/>
        <w:t>Ata</w:t>
      </w:r>
      <w:r>
        <w:rPr>
          <w:color w:val="101010"/>
          <w:spacing w:val="-4"/>
          <w:sz w:val="18"/>
        </w:rPr>
        <w:t> </w:t>
      </w:r>
      <w:r>
        <w:rPr>
          <w:color w:val="101010"/>
          <w:sz w:val="18"/>
        </w:rPr>
        <w:t>nº</w:t>
      </w:r>
      <w:r>
        <w:rPr>
          <w:color w:val="101010"/>
          <w:spacing w:val="-3"/>
          <w:sz w:val="18"/>
        </w:rPr>
        <w:t> </w:t>
      </w:r>
      <w:r>
        <w:rPr>
          <w:color w:val="101010"/>
          <w:sz w:val="18"/>
        </w:rPr>
        <w:t>143.</w:t>
      </w:r>
      <w:r>
        <w:rPr>
          <w:color w:val="101010"/>
          <w:spacing w:val="-2"/>
          <w:sz w:val="18"/>
        </w:rPr>
        <w:t> </w:t>
      </w:r>
      <w:r>
        <w:rPr>
          <w:color w:val="101010"/>
          <w:sz w:val="18"/>
        </w:rPr>
        <w:t>DO.</w:t>
      </w:r>
      <w:r>
        <w:rPr>
          <w:color w:val="101010"/>
          <w:spacing w:val="-3"/>
          <w:sz w:val="18"/>
        </w:rPr>
        <w:t> </w:t>
      </w:r>
      <w:r>
        <w:rPr>
          <w:color w:val="101010"/>
          <w:spacing w:val="-2"/>
          <w:sz w:val="18"/>
        </w:rPr>
        <w:t>09/02/23</w:t>
      </w:r>
      <w:r>
        <w:rPr>
          <w:color w:val="1B1B1B"/>
          <w:spacing w:val="-2"/>
          <w:sz w:val="18"/>
        </w:rPr>
        <w:t>.</w:t>
      </w:r>
    </w:p>
    <w:p>
      <w:pPr>
        <w:pStyle w:val="BodyText"/>
      </w:pPr>
    </w:p>
    <w:p>
      <w:pPr>
        <w:pStyle w:val="BodyText"/>
        <w:spacing w:before="1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535940</wp:posOffset>
                </wp:positionH>
                <wp:positionV relativeFrom="paragraph">
                  <wp:posOffset>228778</wp:posOffset>
                </wp:positionV>
                <wp:extent cx="6487795" cy="35179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487795" cy="351790"/>
                          <a:chExt cx="6487795" cy="35179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7800" cy="351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487795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3"/>
                                <w:ind w:left="17" w:right="58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RESOLUÇÃO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573/2023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200001pt;margin-top:18.014063pt;width:510.85pt;height:27.7pt;mso-position-horizontal-relative:page;mso-position-vertical-relative:paragraph;z-index:-15723008;mso-wrap-distance-left:0;mso-wrap-distance-right:0" id="docshapegroup25" coordorigin="844,360" coordsize="10217,554">
                <v:shape style="position:absolute;left:844;top:360;width:10217;height:554" type="#_x0000_t75" id="docshape26" stroked="false">
                  <v:imagedata r:id="rId10" o:title=""/>
                </v:shape>
                <v:shape style="position:absolute;left:844;top:360;width:10217;height:554" type="#_x0000_t202" id="docshape27" filled="false" stroked="false">
                  <v:textbox inset="0,0,0,0">
                    <w:txbxContent>
                      <w:p>
                        <w:pPr>
                          <w:spacing w:before="153"/>
                          <w:ind w:left="17" w:right="58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RESOLUÇÃO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573/2023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0"/>
        <w:rPr>
          <w:sz w:val="22"/>
        </w:rPr>
      </w:pPr>
    </w:p>
    <w:p>
      <w:pPr>
        <w:pStyle w:val="Heading1"/>
        <w:ind w:right="147"/>
      </w:pPr>
      <w:r>
        <w:rPr>
          <w:color w:val="1B1B1B"/>
        </w:rPr>
        <w:t>REPRESENTAÇÃO. GUARDA DE DOCUMENTOS. DEMONSTRAÇÃO CONTÁBIL. ACESSO</w:t>
      </w:r>
      <w:r>
        <w:rPr>
          <w:color w:val="1B1B1B"/>
          <w:spacing w:val="40"/>
        </w:rPr>
        <w:t> </w:t>
      </w:r>
      <w:r>
        <w:rPr>
          <w:color w:val="1B1B1B"/>
        </w:rPr>
        <w:t>IRRESTRITO AO CIDADÃO. PRINCÍPIO DA PUBLICIDADE. RECOMENDAÇÃO.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ind w:left="16" w:right="148"/>
        <w:jc w:val="both"/>
      </w:pPr>
      <w:r>
        <w:rPr>
          <w:color w:val="101010"/>
        </w:rPr>
        <w:t>Representação acerca da documentação referente a 64 (sessenta e quatro) processos de pagamento, no município de São Gonçalo do Amarante. O referido ente municipal descumpriu o disposto no art.42, § 11 da Constituição Estadual do Ceará, que diz “todos os documentos e demonstrativos contábeis relativos à aplicação dos recursos recebidos e arrecadados deverão permanecer na sede do Município, à disposição irrestrita dos cidadãos e dos controles interno e externo”. Resolveu a primeira Câmara Virtual do Tribunal de Contas do Estado do Ceará, por unanimidade dos votos, recomendar à atual Prefeitura municipal para limitar a guarda de processos de pagamentos, especialmente os documentos e demonstrativos contábeis relativos à aplicação dos recursos recebidos e arrecadados, as dependências da</w:t>
      </w:r>
      <w:r>
        <w:rPr>
          <w:color w:val="101010"/>
          <w:spacing w:val="63"/>
        </w:rPr>
        <w:t>  </w:t>
      </w:r>
      <w:r>
        <w:rPr>
          <w:color w:val="101010"/>
        </w:rPr>
        <w:t>sede</w:t>
      </w:r>
      <w:r>
        <w:rPr>
          <w:color w:val="101010"/>
          <w:spacing w:val="63"/>
        </w:rPr>
        <w:t>  </w:t>
      </w:r>
      <w:r>
        <w:rPr>
          <w:color w:val="101010"/>
        </w:rPr>
        <w:t>do</w:t>
      </w:r>
      <w:r>
        <w:rPr>
          <w:color w:val="101010"/>
          <w:spacing w:val="63"/>
        </w:rPr>
        <w:t>  </w:t>
      </w:r>
      <w:r>
        <w:rPr>
          <w:color w:val="101010"/>
        </w:rPr>
        <w:t>Município,</w:t>
      </w:r>
      <w:r>
        <w:rPr>
          <w:color w:val="101010"/>
          <w:spacing w:val="63"/>
        </w:rPr>
        <w:t>  </w:t>
      </w:r>
      <w:r>
        <w:rPr>
          <w:color w:val="101010"/>
        </w:rPr>
        <w:t>à</w:t>
      </w:r>
      <w:r>
        <w:rPr>
          <w:color w:val="101010"/>
          <w:spacing w:val="63"/>
        </w:rPr>
        <w:t>  </w:t>
      </w:r>
      <w:r>
        <w:rPr>
          <w:color w:val="101010"/>
        </w:rPr>
        <w:t>disposição</w:t>
      </w:r>
      <w:r>
        <w:rPr>
          <w:color w:val="101010"/>
          <w:spacing w:val="63"/>
        </w:rPr>
        <w:t>  </w:t>
      </w:r>
      <w:r>
        <w:rPr>
          <w:color w:val="101010"/>
        </w:rPr>
        <w:t>irrestrita</w:t>
      </w:r>
      <w:r>
        <w:rPr>
          <w:color w:val="101010"/>
          <w:spacing w:val="63"/>
        </w:rPr>
        <w:t>  </w:t>
      </w:r>
      <w:r>
        <w:rPr>
          <w:color w:val="101010"/>
        </w:rPr>
        <w:t>dos</w:t>
      </w:r>
      <w:r>
        <w:rPr>
          <w:color w:val="101010"/>
          <w:spacing w:val="63"/>
        </w:rPr>
        <w:t>  </w:t>
      </w:r>
      <w:r>
        <w:rPr>
          <w:color w:val="101010"/>
        </w:rPr>
        <w:t>cidadãos</w:t>
      </w:r>
      <w:r>
        <w:rPr>
          <w:color w:val="101010"/>
          <w:spacing w:val="63"/>
        </w:rPr>
        <w:t>  </w:t>
      </w:r>
      <w:r>
        <w:rPr>
          <w:color w:val="101010"/>
        </w:rPr>
        <w:t>e</w:t>
      </w:r>
      <w:r>
        <w:rPr>
          <w:color w:val="101010"/>
          <w:spacing w:val="63"/>
        </w:rPr>
        <w:t>  </w:t>
      </w:r>
      <w:r>
        <w:rPr>
          <w:color w:val="101010"/>
        </w:rPr>
        <w:t>dos</w:t>
      </w:r>
      <w:r>
        <w:rPr>
          <w:color w:val="101010"/>
          <w:spacing w:val="63"/>
        </w:rPr>
        <w:t>  </w:t>
      </w:r>
      <w:r>
        <w:rPr>
          <w:color w:val="101010"/>
        </w:rPr>
        <w:t>controles</w:t>
      </w:r>
      <w:r>
        <w:rPr>
          <w:color w:val="101010"/>
          <w:spacing w:val="62"/>
        </w:rPr>
        <w:t>  </w:t>
      </w:r>
      <w:r>
        <w:rPr>
          <w:color w:val="101010"/>
        </w:rPr>
        <w:t>interno</w:t>
      </w:r>
      <w:r>
        <w:rPr>
          <w:color w:val="101010"/>
          <w:spacing w:val="63"/>
        </w:rPr>
        <w:t>  </w:t>
      </w:r>
      <w:r>
        <w:rPr>
          <w:color w:val="101010"/>
        </w:rPr>
        <w:t>e</w:t>
      </w:r>
      <w:r>
        <w:rPr>
          <w:color w:val="101010"/>
          <w:spacing w:val="63"/>
        </w:rPr>
        <w:t>  </w:t>
      </w:r>
      <w:r>
        <w:rPr>
          <w:color w:val="101010"/>
        </w:rPr>
        <w:t>externo.</w:t>
      </w:r>
    </w:p>
    <w:p>
      <w:pPr>
        <w:pStyle w:val="BodyText"/>
        <w:spacing w:before="1"/>
      </w:pPr>
    </w:p>
    <w:p>
      <w:pPr>
        <w:spacing w:before="0"/>
        <w:ind w:left="16" w:right="0" w:firstLine="0"/>
        <w:jc w:val="both"/>
        <w:rPr>
          <w:sz w:val="18"/>
        </w:rPr>
      </w:pPr>
      <w:r>
        <w:rPr>
          <w:color w:val="1B1B1B"/>
          <w:sz w:val="18"/>
        </w:rPr>
        <w:t>Processo</w:t>
      </w:r>
      <w:r>
        <w:rPr>
          <w:color w:val="1B1B1B"/>
          <w:spacing w:val="-4"/>
          <w:sz w:val="18"/>
        </w:rPr>
        <w:t> </w:t>
      </w:r>
      <w:r>
        <w:rPr>
          <w:color w:val="1B1B1B"/>
          <w:sz w:val="18"/>
        </w:rPr>
        <w:t>n°</w:t>
      </w:r>
      <w:r>
        <w:rPr>
          <w:color w:val="1B1B1B"/>
          <w:spacing w:val="-3"/>
          <w:sz w:val="18"/>
        </w:rPr>
        <w:t> </w:t>
      </w:r>
      <w:r>
        <w:rPr>
          <w:color w:val="1B1B1B"/>
          <w:sz w:val="18"/>
        </w:rPr>
        <w:t>20333/2018-2</w:t>
      </w:r>
      <w:r>
        <w:rPr>
          <w:color w:val="1B1B1B"/>
          <w:spacing w:val="45"/>
          <w:sz w:val="18"/>
        </w:rPr>
        <w:t> </w:t>
      </w:r>
      <w:r>
        <w:rPr>
          <w:color w:val="1B1B1B"/>
          <w:sz w:val="18"/>
        </w:rPr>
        <w:t>Relator</w:t>
      </w:r>
      <w:r>
        <w:rPr>
          <w:color w:val="1B1B1B"/>
          <w:spacing w:val="-3"/>
          <w:sz w:val="18"/>
        </w:rPr>
        <w:t> </w:t>
      </w:r>
      <w:r>
        <w:rPr>
          <w:color w:val="1B1B1B"/>
          <w:sz w:val="18"/>
        </w:rPr>
        <w:t>Conselheiro</w:t>
      </w:r>
      <w:r>
        <w:rPr>
          <w:color w:val="1B1B1B"/>
          <w:spacing w:val="-1"/>
          <w:sz w:val="18"/>
        </w:rPr>
        <w:t> </w:t>
      </w:r>
      <w:r>
        <w:rPr>
          <w:color w:val="1B1B1B"/>
          <w:sz w:val="18"/>
        </w:rPr>
        <w:t>Edilberto</w:t>
      </w:r>
      <w:r>
        <w:rPr>
          <w:color w:val="1B1B1B"/>
          <w:spacing w:val="-4"/>
          <w:sz w:val="18"/>
        </w:rPr>
        <w:t> </w:t>
      </w:r>
      <w:r>
        <w:rPr>
          <w:color w:val="1B1B1B"/>
          <w:sz w:val="18"/>
        </w:rPr>
        <w:t>Carlos</w:t>
      </w:r>
      <w:r>
        <w:rPr>
          <w:color w:val="1B1B1B"/>
          <w:spacing w:val="-3"/>
          <w:sz w:val="18"/>
        </w:rPr>
        <w:t> </w:t>
      </w:r>
      <w:r>
        <w:rPr>
          <w:color w:val="1B1B1B"/>
          <w:sz w:val="18"/>
        </w:rPr>
        <w:t>Pontes</w:t>
      </w:r>
      <w:r>
        <w:rPr>
          <w:color w:val="1B1B1B"/>
          <w:spacing w:val="-3"/>
          <w:sz w:val="18"/>
        </w:rPr>
        <w:t> </w:t>
      </w:r>
      <w:r>
        <w:rPr>
          <w:color w:val="1B1B1B"/>
          <w:sz w:val="18"/>
        </w:rPr>
        <w:t>Lima.</w:t>
      </w:r>
      <w:r>
        <w:rPr>
          <w:color w:val="1B1B1B"/>
          <w:spacing w:val="-1"/>
          <w:sz w:val="18"/>
        </w:rPr>
        <w:t> </w:t>
      </w:r>
      <w:r>
        <w:rPr>
          <w:color w:val="1B1B1B"/>
          <w:sz w:val="18"/>
        </w:rPr>
        <w:t>Sessão</w:t>
      </w:r>
      <w:r>
        <w:rPr>
          <w:color w:val="1B1B1B"/>
          <w:spacing w:val="-3"/>
          <w:sz w:val="18"/>
        </w:rPr>
        <w:t> </w:t>
      </w:r>
      <w:r>
        <w:rPr>
          <w:color w:val="1B1B1B"/>
          <w:sz w:val="18"/>
        </w:rPr>
        <w:t>de </w:t>
      </w:r>
      <w:r>
        <w:rPr>
          <w:color w:val="101010"/>
          <w:sz w:val="18"/>
        </w:rPr>
        <w:t>16/01//2023.</w:t>
      </w:r>
      <w:r>
        <w:rPr>
          <w:color w:val="101010"/>
          <w:spacing w:val="68"/>
          <w:w w:val="150"/>
          <w:sz w:val="18"/>
        </w:rPr>
        <w:t>   </w:t>
      </w:r>
      <w:r>
        <w:rPr>
          <w:color w:val="101010"/>
          <w:sz w:val="18"/>
        </w:rPr>
        <w:t>Ata</w:t>
      </w:r>
      <w:r>
        <w:rPr>
          <w:color w:val="101010"/>
          <w:spacing w:val="-2"/>
          <w:sz w:val="18"/>
        </w:rPr>
        <w:t> </w:t>
      </w:r>
      <w:r>
        <w:rPr>
          <w:color w:val="101010"/>
          <w:sz w:val="18"/>
        </w:rPr>
        <w:t>nº</w:t>
      </w:r>
      <w:r>
        <w:rPr>
          <w:color w:val="101010"/>
          <w:spacing w:val="-3"/>
          <w:sz w:val="18"/>
        </w:rPr>
        <w:t> </w:t>
      </w:r>
      <w:r>
        <w:rPr>
          <w:color w:val="101010"/>
          <w:sz w:val="18"/>
        </w:rPr>
        <w:t>143.</w:t>
      </w:r>
      <w:r>
        <w:rPr>
          <w:color w:val="101010"/>
          <w:spacing w:val="-3"/>
          <w:sz w:val="18"/>
        </w:rPr>
        <w:t> </w:t>
      </w:r>
      <w:r>
        <w:rPr>
          <w:color w:val="101010"/>
          <w:sz w:val="18"/>
        </w:rPr>
        <w:t>DO.</w:t>
      </w:r>
      <w:r>
        <w:rPr>
          <w:color w:val="101010"/>
          <w:spacing w:val="-3"/>
          <w:sz w:val="18"/>
        </w:rPr>
        <w:t> </w:t>
      </w:r>
      <w:r>
        <w:rPr>
          <w:color w:val="101010"/>
          <w:spacing w:val="-2"/>
          <w:sz w:val="18"/>
        </w:rPr>
        <w:t>07/02/23.</w:t>
      </w:r>
    </w:p>
    <w:sectPr>
      <w:pgSz w:w="11910" w:h="16840"/>
      <w:pgMar w:header="0" w:footer="656" w:top="1420" w:bottom="8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2336">
          <wp:simplePos x="0" y="0"/>
          <wp:positionH relativeFrom="page">
            <wp:posOffset>2540</wp:posOffset>
          </wp:positionH>
          <wp:positionV relativeFrom="page">
            <wp:posOffset>10148079</wp:posOffset>
          </wp:positionV>
          <wp:extent cx="7556500" cy="543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50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" w:right="164"/>
      <w:jc w:val="both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2025-10-06T13:45:55Z</dcterms:created>
  <dcterms:modified xsi:type="dcterms:W3CDTF">2025-10-06T13:45:55Z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2023-05-25T00:00:00Z</vt:filetime>
  </property>
</Properties>
</file>