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r>
        <w:rPr>
          <w:rFonts w:ascii="Times New Roman"/>
          <w:sz w:val="18"/>
        </w:rPr>
        <w:drawing>
          <wp:anchor distT="0" distB="0" distL="0" distR="0" allowOverlap="1" layoutInCell="1" locked="0" behindDoc="0" simplePos="0" relativeHeight="15729664">
            <wp:simplePos x="0" y="0"/>
            <wp:positionH relativeFrom="page">
              <wp:posOffset>635</wp:posOffset>
            </wp:positionH>
            <wp:positionV relativeFrom="page">
              <wp:posOffset>9</wp:posOffset>
            </wp:positionV>
            <wp:extent cx="7559040" cy="160972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59040" cy="1609725"/>
                    </a:xfrm>
                    <a:prstGeom prst="rect">
                      <a:avLst/>
                    </a:prstGeom>
                  </pic:spPr>
                </pic:pic>
              </a:graphicData>
            </a:graphic>
          </wp:anchor>
        </w:drawing>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81"/>
        <w:rPr>
          <w:rFonts w:ascii="Times New Roman"/>
          <w:sz w:val="18"/>
        </w:rPr>
      </w:pPr>
    </w:p>
    <w:p>
      <w:pPr>
        <w:spacing w:before="0"/>
        <w:ind w:left="6106"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2025</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5"/>
          <w:sz w:val="18"/>
        </w:rPr>
        <w:t>03</w:t>
      </w:r>
    </w:p>
    <w:p>
      <w:pPr>
        <w:pStyle w:val="BodyText"/>
        <w:spacing w:before="14"/>
        <w:rPr>
          <w:rFonts w:ascii="Arial"/>
          <w:b/>
          <w:i/>
        </w:rPr>
      </w:pPr>
      <w:r>
        <w:rPr>
          <w:rFonts w:ascii="Arial"/>
          <w:b/>
          <w:i/>
        </w:rPr>
        <mc:AlternateContent>
          <mc:Choice Requires="wps">
            <w:drawing>
              <wp:anchor distT="0" distB="0" distL="0" distR="0" allowOverlap="1" layoutInCell="1" locked="0" behindDoc="1" simplePos="0" relativeHeight="487587840">
                <wp:simplePos x="0" y="0"/>
                <wp:positionH relativeFrom="page">
                  <wp:posOffset>437515</wp:posOffset>
                </wp:positionH>
                <wp:positionV relativeFrom="paragraph">
                  <wp:posOffset>170464</wp:posOffset>
                </wp:positionV>
                <wp:extent cx="6676390" cy="1742439"/>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676390" cy="1742439"/>
                          <a:chExt cx="6676390" cy="1742439"/>
                        </a:xfrm>
                      </wpg:grpSpPr>
                      <pic:pic>
                        <pic:nvPicPr>
                          <pic:cNvPr id="4" name="Image 4"/>
                          <pic:cNvPicPr/>
                        </pic:nvPicPr>
                        <pic:blipFill>
                          <a:blip r:embed="rId7" cstate="print"/>
                          <a:stretch>
                            <a:fillRect/>
                          </a:stretch>
                        </pic:blipFill>
                        <pic:spPr>
                          <a:xfrm>
                            <a:off x="0" y="0"/>
                            <a:ext cx="6676390" cy="1742440"/>
                          </a:xfrm>
                          <a:prstGeom prst="rect">
                            <a:avLst/>
                          </a:prstGeom>
                        </pic:spPr>
                      </pic:pic>
                      <wps:wsp>
                        <wps:cNvPr id="5" name="Textbox 5"/>
                        <wps:cNvSpPr txBox="1"/>
                        <wps:spPr>
                          <a:xfrm>
                            <a:off x="0" y="0"/>
                            <a:ext cx="6676390" cy="1742439"/>
                          </a:xfrm>
                          <a:prstGeom prst="rect">
                            <a:avLst/>
                          </a:prstGeom>
                        </wps:spPr>
                        <wps:txbx>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março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wps:txbx>
                        <wps:bodyPr wrap="square" lIns="0" tIns="0" rIns="0" bIns="0" rtlCol="0">
                          <a:noAutofit/>
                        </wps:bodyPr>
                      </wps:wsp>
                    </wpg:wgp>
                  </a:graphicData>
                </a:graphic>
              </wp:anchor>
            </w:drawing>
          </mc:Choice>
          <mc:Fallback>
            <w:pict>
              <v:group style="position:absolute;margin-left:34.450001pt;margin-top:13.422426pt;width:525.7pt;height:137.2pt;mso-position-horizontal-relative:page;mso-position-vertical-relative:paragraph;z-index:-15728640;mso-wrap-distance-left:0;mso-wrap-distance-right:0" id="docshapegroup1" coordorigin="689,268" coordsize="10514,2744">
                <v:shape style="position:absolute;left:689;top:268;width:10514;height:2744" type="#_x0000_t75" id="docshape2" stroked="false">
                  <v:imagedata r:id="rId7" o:title=""/>
                </v:shape>
                <v:shapetype id="_x0000_t202" o:spt="202" coordsize="21600,21600" path="m,l,21600r21600,l21600,xe">
                  <v:stroke joinstyle="miter"/>
                  <v:path gradientshapeok="t" o:connecttype="rect"/>
                </v:shapetype>
                <v:shape style="position:absolute;left:689;top:268;width:10514;height:2744" type="#_x0000_t202" id="docshape3" filled="false" stroked="false">
                  <v:textbox inset="0,0,0,0">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março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v:textbox>
                  <w10:wrap type="none"/>
                </v:shape>
                <w10:wrap type="topAndBottom"/>
              </v:group>
            </w:pict>
          </mc:Fallback>
        </mc:AlternateContent>
      </w:r>
    </w:p>
    <w:p>
      <w:pPr>
        <w:pStyle w:val="BodyText"/>
        <w:rPr>
          <w:rFonts w:ascii="Arial"/>
          <w:b/>
          <w:i/>
          <w:sz w:val="24"/>
        </w:rPr>
      </w:pPr>
    </w:p>
    <w:p>
      <w:pPr>
        <w:pStyle w:val="BodyText"/>
        <w:rPr>
          <w:rFonts w:ascii="Arial"/>
          <w:b/>
          <w:i/>
          <w:sz w:val="24"/>
        </w:rPr>
      </w:pPr>
    </w:p>
    <w:p>
      <w:pPr>
        <w:pStyle w:val="BodyText"/>
        <w:spacing w:before="210"/>
        <w:rPr>
          <w:rFonts w:ascii="Arial"/>
          <w:b/>
          <w:i/>
          <w:sz w:val="24"/>
        </w:rPr>
      </w:pPr>
    </w:p>
    <w:p>
      <w:pPr>
        <w:pStyle w:val="Heading1"/>
      </w:pPr>
      <w:r>
        <w:rPr/>
        <mc:AlternateContent>
          <mc:Choice Requires="wps">
            <w:drawing>
              <wp:anchor distT="0" distB="0" distL="0" distR="0" allowOverlap="1" layoutInCell="1" locked="0" behindDoc="0" simplePos="0" relativeHeight="15730176">
                <wp:simplePos x="0" y="0"/>
                <wp:positionH relativeFrom="page">
                  <wp:posOffset>366395</wp:posOffset>
                </wp:positionH>
                <wp:positionV relativeFrom="paragraph">
                  <wp:posOffset>-553675</wp:posOffset>
                </wp:positionV>
                <wp:extent cx="6824345" cy="432434"/>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824345" cy="432434"/>
                          <a:chExt cx="6824345" cy="432434"/>
                        </a:xfrm>
                      </wpg:grpSpPr>
                      <pic:pic>
                        <pic:nvPicPr>
                          <pic:cNvPr id="7" name="Image 7"/>
                          <pic:cNvPicPr/>
                        </pic:nvPicPr>
                        <pic:blipFill>
                          <a:blip r:embed="rId8" cstate="print"/>
                          <a:stretch>
                            <a:fillRect/>
                          </a:stretch>
                        </pic:blipFill>
                        <pic:spPr>
                          <a:xfrm>
                            <a:off x="0" y="0"/>
                            <a:ext cx="6824345" cy="432435"/>
                          </a:xfrm>
                          <a:prstGeom prst="rect">
                            <a:avLst/>
                          </a:prstGeom>
                        </pic:spPr>
                      </pic:pic>
                      <wps:wsp>
                        <wps:cNvPr id="8" name="Textbox 8"/>
                        <wps:cNvSpPr txBox="1"/>
                        <wps:spPr>
                          <a:xfrm>
                            <a:off x="0" y="0"/>
                            <a:ext cx="6824345" cy="432434"/>
                          </a:xfrm>
                          <a:prstGeom prst="rect">
                            <a:avLst/>
                          </a:prstGeom>
                        </wps:spPr>
                        <wps:txbx>
                          <w:txbxContent>
                            <w:p>
                              <w:pPr>
                                <w:spacing w:before="241"/>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2090/2025</w:t>
                              </w:r>
                            </w:p>
                          </w:txbxContent>
                        </wps:txbx>
                        <wps:bodyPr wrap="square" lIns="0" tIns="0" rIns="0" bIns="0" rtlCol="0">
                          <a:noAutofit/>
                        </wps:bodyPr>
                      </wps:wsp>
                    </wpg:wgp>
                  </a:graphicData>
                </a:graphic>
              </wp:anchor>
            </w:drawing>
          </mc:Choice>
          <mc:Fallback>
            <w:pict>
              <v:group style="position:absolute;margin-left:28.85pt;margin-top:-43.596485pt;width:537.35pt;height:34.050pt;mso-position-horizontal-relative:page;mso-position-vertical-relative:paragraph;z-index:15730176" id="docshapegroup4" coordorigin="577,-872" coordsize="10747,681">
                <v:shape style="position:absolute;left:577;top:-872;width:10747;height:681" type="#_x0000_t75" id="docshape5" stroked="false">
                  <v:imagedata r:id="rId8" o:title=""/>
                </v:shape>
                <v:shape style="position:absolute;left:577;top:-872;width:10747;height:681" type="#_x0000_t202" id="docshape6" filled="false" stroked="false">
                  <v:textbox inset="0,0,0,0">
                    <w:txbxContent>
                      <w:p>
                        <w:pPr>
                          <w:spacing w:before="241"/>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2090/2025</w:t>
                        </w:r>
                      </w:p>
                    </w:txbxContent>
                  </v:textbox>
                  <w10:wrap type="none"/>
                </v:shape>
                <w10:wrap type="none"/>
              </v:group>
            </w:pict>
          </mc:Fallback>
        </mc:AlternateContent>
      </w:r>
      <w:r>
        <w:rPr/>
        <w:t>REPRESENTAÇÃO. CONCORRÊNCIA PÚBLICA. INEXIGIBILIDADE DE LICITAÇÃO. CONTRATAÇÃO DIRETA. SERVIÇO TÉCNICO ESPECIALIZADO. SERVIÇOS ADVOCATÍCIOS. HONORÁRIOS. PRECATÓRIO. FUNDEB.</w:t>
      </w:r>
    </w:p>
    <w:p>
      <w:pPr>
        <w:pStyle w:val="BodyText"/>
        <w:spacing w:before="207"/>
        <w:ind w:left="157" w:right="16"/>
        <w:jc w:val="both"/>
      </w:pPr>
      <w:r>
        <w:rPr/>
        <w:t>Representação</w:t>
      </w:r>
      <w:r>
        <w:rPr>
          <w:spacing w:val="-2"/>
        </w:rPr>
        <w:t> </w:t>
      </w:r>
      <w:r>
        <w:rPr/>
        <w:t>acerca</w:t>
      </w:r>
      <w:r>
        <w:rPr>
          <w:spacing w:val="-2"/>
        </w:rPr>
        <w:t> </w:t>
      </w:r>
      <w:r>
        <w:rPr/>
        <w:t>de</w:t>
      </w:r>
      <w:r>
        <w:rPr>
          <w:spacing w:val="-2"/>
        </w:rPr>
        <w:t> </w:t>
      </w:r>
      <w:r>
        <w:rPr/>
        <w:t>supostas</w:t>
      </w:r>
      <w:r>
        <w:rPr>
          <w:spacing w:val="-2"/>
        </w:rPr>
        <w:t> </w:t>
      </w:r>
      <w:r>
        <w:rPr/>
        <w:t>irregularidades</w:t>
      </w:r>
      <w:r>
        <w:rPr>
          <w:spacing w:val="-2"/>
        </w:rPr>
        <w:t> </w:t>
      </w:r>
      <w:r>
        <w:rPr/>
        <w:t>no</w:t>
      </w:r>
      <w:r>
        <w:rPr>
          <w:spacing w:val="-2"/>
        </w:rPr>
        <w:t> </w:t>
      </w:r>
      <w:r>
        <w:rPr/>
        <w:t>processo</w:t>
      </w:r>
      <w:r>
        <w:rPr>
          <w:spacing w:val="-2"/>
        </w:rPr>
        <w:t> </w:t>
      </w:r>
      <w:r>
        <w:rPr/>
        <w:t>licitatório</w:t>
      </w:r>
      <w:r>
        <w:rPr>
          <w:spacing w:val="-2"/>
        </w:rPr>
        <w:t> </w:t>
      </w:r>
      <w:r>
        <w:rPr/>
        <w:t>cujo objetivo</w:t>
      </w:r>
      <w:r>
        <w:rPr>
          <w:spacing w:val="-2"/>
        </w:rPr>
        <w:t> </w:t>
      </w:r>
      <w:r>
        <w:rPr/>
        <w:t>era</w:t>
      </w:r>
      <w:r>
        <w:rPr>
          <w:spacing w:val="-2"/>
        </w:rPr>
        <w:t> </w:t>
      </w:r>
      <w:r>
        <w:rPr/>
        <w:t>a</w:t>
      </w:r>
      <w:r>
        <w:rPr>
          <w:spacing w:val="-2"/>
        </w:rPr>
        <w:t> </w:t>
      </w:r>
      <w:r>
        <w:rPr/>
        <w:t>contratação de</w:t>
      </w:r>
      <w:r>
        <w:rPr>
          <w:spacing w:val="-2"/>
        </w:rPr>
        <w:t> </w:t>
      </w:r>
      <w:r>
        <w:rPr/>
        <w:t>escritório</w:t>
      </w:r>
      <w:r>
        <w:rPr>
          <w:spacing w:val="-2"/>
        </w:rPr>
        <w:t> </w:t>
      </w:r>
      <w:r>
        <w:rPr/>
        <w:t>de advocacia sem a formalização do devido processo de inexigibilidade para recuperação de crédito tributário e recuperação dos valores não repassados corretamente ao Fundeb</w:t>
      </w:r>
      <w:r>
        <w:rPr>
          <w:rFonts w:ascii="Arial" w:hAnsi="Arial"/>
          <w:b/>
        </w:rPr>
        <w:t>. </w:t>
      </w:r>
      <w:r>
        <w:rPr/>
        <w:t>É possível contratar serviços advocatícios sem licitação, desde que a prestação do serviço pelo poder público seja inadequada e o preço do serviço contratado seja compatível</w:t>
      </w:r>
      <w:r>
        <w:rPr>
          <w:spacing w:val="-3"/>
        </w:rPr>
        <w:t> </w:t>
      </w:r>
      <w:r>
        <w:rPr/>
        <w:t>com</w:t>
      </w:r>
      <w:r>
        <w:rPr>
          <w:spacing w:val="-1"/>
        </w:rPr>
        <w:t> </w:t>
      </w:r>
      <w:r>
        <w:rPr/>
        <w:t>a</w:t>
      </w:r>
      <w:r>
        <w:rPr>
          <w:spacing w:val="-3"/>
        </w:rPr>
        <w:t> </w:t>
      </w:r>
      <w:r>
        <w:rPr/>
        <w:t>responsabilidade profissional</w:t>
      </w:r>
      <w:r>
        <w:rPr>
          <w:spacing w:val="-1"/>
        </w:rPr>
        <w:t> </w:t>
      </w:r>
      <w:r>
        <w:rPr/>
        <w:t>exigida pelo</w:t>
      </w:r>
      <w:r>
        <w:rPr>
          <w:spacing w:val="-2"/>
        </w:rPr>
        <w:t> </w:t>
      </w:r>
      <w:r>
        <w:rPr/>
        <w:t>caso</w:t>
      </w:r>
      <w:r>
        <w:rPr>
          <w:spacing w:val="-2"/>
        </w:rPr>
        <w:t> </w:t>
      </w:r>
      <w:r>
        <w:rPr/>
        <w:t>e</w:t>
      </w:r>
      <w:r>
        <w:rPr>
          <w:spacing w:val="-2"/>
        </w:rPr>
        <w:t> </w:t>
      </w:r>
      <w:r>
        <w:rPr/>
        <w:t>respeite</w:t>
      </w:r>
      <w:r>
        <w:rPr>
          <w:spacing w:val="-2"/>
        </w:rPr>
        <w:t> </w:t>
      </w:r>
      <w:r>
        <w:rPr/>
        <w:t>o</w:t>
      </w:r>
      <w:r>
        <w:rPr>
          <w:spacing w:val="-2"/>
        </w:rPr>
        <w:t> </w:t>
      </w:r>
      <w:r>
        <w:rPr/>
        <w:t>valor</w:t>
      </w:r>
      <w:r>
        <w:rPr>
          <w:spacing w:val="-1"/>
        </w:rPr>
        <w:t> </w:t>
      </w:r>
      <w:r>
        <w:rPr/>
        <w:t>de</w:t>
      </w:r>
      <w:r>
        <w:rPr>
          <w:spacing w:val="-2"/>
        </w:rPr>
        <w:t> </w:t>
      </w:r>
      <w:r>
        <w:rPr/>
        <w:t>mercado,</w:t>
      </w:r>
      <w:r>
        <w:rPr>
          <w:spacing w:val="-2"/>
        </w:rPr>
        <w:t> </w:t>
      </w:r>
      <w:r>
        <w:rPr/>
        <w:t>necessitando ainda dos critérios já previstos em lei, como o procedimento administrativo formal, notória especialização e natureza singular do serviço. O pagamento de honorários advocatícios com recursos do Fundeb contraria previsão constitucional e infraconstitucional, visto que são vinculados, exclusivamente, às atividades de manutenção e desenvolvimento do ensino. As verbas dos precatórios do Fundef/Fundeb são exclusivas para aplicação nas ações de desenvolvimento e manutenção do ensino, sendo vedado</w:t>
      </w:r>
      <w:r>
        <w:rPr>
          <w:spacing w:val="-1"/>
        </w:rPr>
        <w:t> </w:t>
      </w:r>
      <w:r>
        <w:rPr/>
        <w:t>o pagamento de honorários advocatícios, ressalvada a possibilidade</w:t>
      </w:r>
      <w:r>
        <w:rPr>
          <w:spacing w:val="-1"/>
        </w:rPr>
        <w:t> </w:t>
      </w:r>
      <w:r>
        <w:rPr/>
        <w:t>de</w:t>
      </w:r>
      <w:r>
        <w:rPr>
          <w:spacing w:val="-1"/>
        </w:rPr>
        <w:t> </w:t>
      </w:r>
      <w:r>
        <w:rPr/>
        <w:t>utilização da verba correspondente aos juros de mora incidentes sobre o valor do precatório, conforme ADPF nº 528 do STF. O Pleno Virtual do Tribunal de Contas do Estado do Ceará, por maioria de votos, julgou pela procedência parcial da Representação, com aplicação de multa e determinação.</w:t>
      </w:r>
    </w:p>
    <w:p>
      <w:pPr>
        <w:spacing w:before="207"/>
        <w:ind w:left="157" w:right="0" w:firstLine="0"/>
        <w:jc w:val="both"/>
        <w:rPr>
          <w:sz w:val="18"/>
        </w:rPr>
      </w:pPr>
      <w:r>
        <w:rPr>
          <w:sz w:val="18"/>
        </w:rPr>
        <w:t>Processo</w:t>
      </w:r>
      <w:r>
        <w:rPr>
          <w:spacing w:val="-7"/>
          <w:sz w:val="18"/>
        </w:rPr>
        <w:t> </w:t>
      </w:r>
      <w:r>
        <w:rPr>
          <w:sz w:val="18"/>
        </w:rPr>
        <w:t>n.º</w:t>
      </w:r>
      <w:r>
        <w:rPr>
          <w:spacing w:val="-5"/>
          <w:sz w:val="18"/>
        </w:rPr>
        <w:t> </w:t>
      </w:r>
      <w:r>
        <w:rPr>
          <w:sz w:val="18"/>
        </w:rPr>
        <w:t>15755/2021-6.</w:t>
      </w:r>
      <w:r>
        <w:rPr>
          <w:spacing w:val="41"/>
          <w:sz w:val="18"/>
        </w:rPr>
        <w:t> </w:t>
      </w:r>
      <w:r>
        <w:rPr>
          <w:sz w:val="18"/>
        </w:rPr>
        <w:t>Relator(a):</w:t>
      </w:r>
      <w:r>
        <w:rPr>
          <w:spacing w:val="-5"/>
          <w:sz w:val="18"/>
        </w:rPr>
        <w:t> </w:t>
      </w:r>
      <w:r>
        <w:rPr>
          <w:sz w:val="18"/>
        </w:rPr>
        <w:t>Cons(a). Patricia</w:t>
      </w:r>
      <w:r>
        <w:rPr>
          <w:spacing w:val="-5"/>
          <w:sz w:val="18"/>
        </w:rPr>
        <w:t> </w:t>
      </w:r>
      <w:r>
        <w:rPr>
          <w:sz w:val="18"/>
        </w:rPr>
        <w:t>Saboya.</w:t>
      </w:r>
      <w:r>
        <w:rPr>
          <w:spacing w:val="43"/>
          <w:sz w:val="18"/>
        </w:rPr>
        <w:t> </w:t>
      </w:r>
      <w:r>
        <w:rPr>
          <w:sz w:val="18"/>
        </w:rPr>
        <w:t>Sessão</w:t>
      </w:r>
      <w:r>
        <w:rPr>
          <w:spacing w:val="-5"/>
          <w:sz w:val="18"/>
        </w:rPr>
        <w:t> </w:t>
      </w:r>
      <w:r>
        <w:rPr>
          <w:sz w:val="18"/>
        </w:rPr>
        <w:t>Virtual</w:t>
      </w:r>
      <w:r>
        <w:rPr>
          <w:spacing w:val="-5"/>
          <w:sz w:val="18"/>
        </w:rPr>
        <w:t> </w:t>
      </w:r>
      <w:r>
        <w:rPr>
          <w:sz w:val="18"/>
        </w:rPr>
        <w:t>de</w:t>
      </w:r>
      <w:r>
        <w:rPr>
          <w:spacing w:val="-5"/>
          <w:sz w:val="18"/>
        </w:rPr>
        <w:t> </w:t>
      </w:r>
      <w:r>
        <w:rPr>
          <w:sz w:val="18"/>
        </w:rPr>
        <w:t>17/03/2025.</w:t>
      </w:r>
      <w:r>
        <w:rPr>
          <w:spacing w:val="43"/>
          <w:sz w:val="18"/>
        </w:rPr>
        <w:t> </w:t>
      </w:r>
      <w:r>
        <w:rPr>
          <w:sz w:val="18"/>
        </w:rPr>
        <w:t>Ata</w:t>
      </w:r>
      <w:r>
        <w:rPr>
          <w:spacing w:val="-5"/>
          <w:sz w:val="18"/>
        </w:rPr>
        <w:t> </w:t>
      </w:r>
      <w:r>
        <w:rPr>
          <w:sz w:val="18"/>
        </w:rPr>
        <w:t>n.º</w:t>
      </w:r>
      <w:r>
        <w:rPr>
          <w:spacing w:val="-5"/>
          <w:sz w:val="18"/>
        </w:rPr>
        <w:t> </w:t>
      </w:r>
      <w:r>
        <w:rPr>
          <w:sz w:val="18"/>
        </w:rPr>
        <w:t>227/2025.</w:t>
      </w:r>
      <w:r>
        <w:rPr>
          <w:spacing w:val="41"/>
          <w:sz w:val="18"/>
        </w:rPr>
        <w:t> </w:t>
      </w:r>
      <w:r>
        <w:rPr>
          <w:sz w:val="18"/>
        </w:rPr>
        <w:t>DO:</w:t>
      </w:r>
      <w:r>
        <w:rPr>
          <w:spacing w:val="-4"/>
          <w:sz w:val="18"/>
        </w:rPr>
        <w:t> </w:t>
      </w:r>
      <w:r>
        <w:rPr>
          <w:spacing w:val="-2"/>
          <w:sz w:val="18"/>
        </w:rPr>
        <w:t>07/04/2025.</w:t>
      </w:r>
    </w:p>
    <w:p>
      <w:pPr>
        <w:pStyle w:val="BodyText"/>
        <w:spacing w:before="4"/>
        <w:rPr>
          <w:sz w:val="18"/>
        </w:rPr>
      </w:pPr>
      <w:r>
        <w:rPr>
          <w:sz w:val="18"/>
        </w:rPr>
        <mc:AlternateContent>
          <mc:Choice Requires="wps">
            <w:drawing>
              <wp:anchor distT="0" distB="0" distL="0" distR="0" allowOverlap="1" layoutInCell="1" locked="0" behindDoc="1" simplePos="0" relativeHeight="487588352">
                <wp:simplePos x="0" y="0"/>
                <wp:positionH relativeFrom="page">
                  <wp:posOffset>349250</wp:posOffset>
                </wp:positionH>
                <wp:positionV relativeFrom="paragraph">
                  <wp:posOffset>149486</wp:posOffset>
                </wp:positionV>
                <wp:extent cx="6824345" cy="45402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824345" cy="454025"/>
                          <a:chExt cx="6824345" cy="454025"/>
                        </a:xfrm>
                      </wpg:grpSpPr>
                      <pic:pic>
                        <pic:nvPicPr>
                          <pic:cNvPr id="10" name="Image 10"/>
                          <pic:cNvPicPr/>
                        </pic:nvPicPr>
                        <pic:blipFill>
                          <a:blip r:embed="rId8" cstate="print"/>
                          <a:stretch>
                            <a:fillRect/>
                          </a:stretch>
                        </pic:blipFill>
                        <pic:spPr>
                          <a:xfrm>
                            <a:off x="0" y="0"/>
                            <a:ext cx="6824345" cy="454025"/>
                          </a:xfrm>
                          <a:prstGeom prst="rect">
                            <a:avLst/>
                          </a:prstGeom>
                        </pic:spPr>
                      </pic:pic>
                      <wps:wsp>
                        <wps:cNvPr id="11" name="Textbox 11"/>
                        <wps:cNvSpPr txBox="1"/>
                        <wps:spPr>
                          <a:xfrm>
                            <a:off x="0" y="0"/>
                            <a:ext cx="6824345" cy="454025"/>
                          </a:xfrm>
                          <a:prstGeom prst="rect">
                            <a:avLst/>
                          </a:prstGeom>
                        </wps:spPr>
                        <wps:txbx>
                          <w:txbxContent>
                            <w:p>
                              <w:pPr>
                                <w:spacing w:before="236"/>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2005/2025</w:t>
                              </w:r>
                            </w:p>
                          </w:txbxContent>
                        </wps:txbx>
                        <wps:bodyPr wrap="square" lIns="0" tIns="0" rIns="0" bIns="0" rtlCol="0">
                          <a:noAutofit/>
                        </wps:bodyPr>
                      </wps:wsp>
                    </wpg:wgp>
                  </a:graphicData>
                </a:graphic>
              </wp:anchor>
            </w:drawing>
          </mc:Choice>
          <mc:Fallback>
            <w:pict>
              <v:group style="position:absolute;margin-left:27.5pt;margin-top:11.770605pt;width:537.35pt;height:35.75pt;mso-position-horizontal-relative:page;mso-position-vertical-relative:paragraph;z-index:-15728128;mso-wrap-distance-left:0;mso-wrap-distance-right:0" id="docshapegroup7" coordorigin="550,235" coordsize="10747,715">
                <v:shape style="position:absolute;left:550;top:235;width:10747;height:715" type="#_x0000_t75" id="docshape8" stroked="false">
                  <v:imagedata r:id="rId8" o:title=""/>
                </v:shape>
                <v:shape style="position:absolute;left:550;top:235;width:10747;height:715" type="#_x0000_t202" id="docshape9" filled="false" stroked="false">
                  <v:textbox inset="0,0,0,0">
                    <w:txbxContent>
                      <w:p>
                        <w:pPr>
                          <w:spacing w:before="236"/>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2005/2025</w:t>
                        </w:r>
                      </w:p>
                    </w:txbxContent>
                  </v:textbox>
                  <w10:wrap type="none"/>
                </v:shape>
                <w10:wrap type="topAndBottom"/>
              </v:group>
            </w:pict>
          </mc:Fallback>
        </mc:AlternateContent>
      </w:r>
    </w:p>
    <w:p>
      <w:pPr>
        <w:pStyle w:val="Heading1"/>
        <w:spacing w:before="153"/>
      </w:pPr>
      <w:r>
        <w:rPr/>
        <w:t>CONSULTA. CONTRIBUIÇÃO DE ILUMINAÇÃO PÚBLICA – COSIP. APLICAÇÃO DOS RECURSOS. BENS DE USO COMUM DO POVO. DESPESA DE CUSTEIO. POSSIBILIDADES.</w:t>
      </w:r>
    </w:p>
    <w:p>
      <w:pPr>
        <w:pStyle w:val="BodyText"/>
        <w:spacing w:before="207"/>
        <w:ind w:left="157" w:right="35"/>
        <w:jc w:val="both"/>
      </w:pPr>
      <w:r>
        <w:rPr/>
        <w:t>Consulta acerca da destinação dos valores arrecadados pelo erário municipal da Contribuição para a Iluminação</w:t>
      </w:r>
      <w:r>
        <w:rPr>
          <w:spacing w:val="40"/>
        </w:rPr>
        <w:t> </w:t>
      </w:r>
      <w:r>
        <w:rPr/>
        <w:t>Pública, incluindo-se a possibilidade de uso dos mesmos para pagamentos de despesas de bens de uso comum do povo, requerendo o posicionamento deste Tribunal acerca da classificação de espaços esportivos como bens de uso comum do povo ou de uso especial. Os recursos arrecadados pela COSIP podem ser utilizados no custeio do funcionamento e manutenção da infraestrutura existente, incluindo o pagamento da energia elétrica consumida pelos equipamentos</w:t>
      </w:r>
      <w:r>
        <w:rPr>
          <w:spacing w:val="40"/>
        </w:rPr>
        <w:t> </w:t>
      </w:r>
      <w:r>
        <w:rPr/>
        <w:t>de</w:t>
      </w:r>
      <w:r>
        <w:rPr>
          <w:spacing w:val="40"/>
        </w:rPr>
        <w:t> </w:t>
      </w:r>
      <w:r>
        <w:rPr/>
        <w:t>iluminação</w:t>
      </w:r>
      <w:r>
        <w:rPr>
          <w:spacing w:val="40"/>
        </w:rPr>
        <w:t> </w:t>
      </w:r>
      <w:r>
        <w:rPr/>
        <w:t>pública,</w:t>
      </w:r>
      <w:r>
        <w:rPr>
          <w:spacing w:val="40"/>
        </w:rPr>
        <w:t> </w:t>
      </w:r>
      <w:r>
        <w:rPr/>
        <w:t>a</w:t>
      </w:r>
      <w:r>
        <w:rPr>
          <w:spacing w:val="40"/>
        </w:rPr>
        <w:t> </w:t>
      </w:r>
      <w:r>
        <w:rPr/>
        <w:t>manutenção</w:t>
      </w:r>
      <w:r>
        <w:rPr>
          <w:spacing w:val="40"/>
        </w:rPr>
        <w:t> </w:t>
      </w:r>
      <w:r>
        <w:rPr/>
        <w:t>de</w:t>
      </w:r>
      <w:r>
        <w:rPr>
          <w:spacing w:val="40"/>
        </w:rPr>
        <w:t> </w:t>
      </w:r>
      <w:r>
        <w:rPr/>
        <w:t>postes,</w:t>
      </w:r>
      <w:r>
        <w:rPr>
          <w:spacing w:val="40"/>
        </w:rPr>
        <w:t> </w:t>
      </w:r>
      <w:r>
        <w:rPr/>
        <w:t>luminárias</w:t>
      </w:r>
      <w:r>
        <w:rPr>
          <w:spacing w:val="40"/>
        </w:rPr>
        <w:t> </w:t>
      </w:r>
      <w:r>
        <w:rPr/>
        <w:t>e</w:t>
      </w:r>
      <w:r>
        <w:rPr>
          <w:spacing w:val="40"/>
        </w:rPr>
        <w:t> </w:t>
      </w:r>
      <w:r>
        <w:rPr/>
        <w:t>redes,</w:t>
      </w:r>
      <w:r>
        <w:rPr>
          <w:spacing w:val="40"/>
        </w:rPr>
        <w:t> </w:t>
      </w:r>
      <w:r>
        <w:rPr/>
        <w:t>e</w:t>
      </w:r>
      <w:r>
        <w:rPr>
          <w:spacing w:val="40"/>
        </w:rPr>
        <w:t> </w:t>
      </w:r>
      <w:r>
        <w:rPr/>
        <w:t>as</w:t>
      </w:r>
      <w:r>
        <w:rPr>
          <w:spacing w:val="40"/>
        </w:rPr>
        <w:t> </w:t>
      </w:r>
      <w:r>
        <w:rPr/>
        <w:t>despesas</w:t>
      </w:r>
      <w:r>
        <w:rPr>
          <w:spacing w:val="39"/>
        </w:rPr>
        <w:t> </w:t>
      </w:r>
      <w:r>
        <w:rPr/>
        <w:t>com</w:t>
      </w:r>
      <w:r>
        <w:rPr>
          <w:spacing w:val="40"/>
        </w:rPr>
        <w:t> </w:t>
      </w:r>
      <w:r>
        <w:rPr/>
        <w:t>o</w:t>
      </w:r>
      <w:r>
        <w:rPr>
          <w:spacing w:val="40"/>
        </w:rPr>
        <w:t> </w:t>
      </w:r>
      <w:r>
        <w:rPr/>
        <w:t>pessoal</w:t>
      </w:r>
    </w:p>
    <w:p>
      <w:pPr>
        <w:pStyle w:val="BodyText"/>
        <w:spacing w:after="0"/>
        <w:jc w:val="both"/>
        <w:sectPr>
          <w:footerReference w:type="default" r:id="rId5"/>
          <w:type w:val="continuous"/>
          <w:pgSz w:w="11910" w:h="16840"/>
          <w:pgMar w:header="0" w:footer="722" w:top="0" w:bottom="920" w:left="425" w:right="566"/>
          <w:pgNumType w:start="1"/>
        </w:sectPr>
      </w:pPr>
    </w:p>
    <w:p>
      <w:pPr>
        <w:pStyle w:val="BodyText"/>
        <w:spacing w:before="8"/>
      </w:pPr>
    </w:p>
    <w:p>
      <w:pPr>
        <w:pStyle w:val="BodyText"/>
        <w:ind w:left="157" w:right="14"/>
        <w:jc w:val="both"/>
      </w:pPr>
      <w:r>
        <w:rPr/>
        <w:t>responsável</w:t>
      </w:r>
      <w:r>
        <w:rPr>
          <w:spacing w:val="-1"/>
        </w:rPr>
        <w:t> </w:t>
      </w:r>
      <w:r>
        <w:rPr/>
        <w:t>pela operação e supervisão do</w:t>
      </w:r>
      <w:r>
        <w:rPr>
          <w:spacing w:val="-2"/>
        </w:rPr>
        <w:t> </w:t>
      </w:r>
      <w:r>
        <w:rPr/>
        <w:t>serviço. Esses recursos podem</w:t>
      </w:r>
      <w:r>
        <w:rPr>
          <w:spacing w:val="-1"/>
        </w:rPr>
        <w:t> </w:t>
      </w:r>
      <w:r>
        <w:rPr/>
        <w:t>ser</w:t>
      </w:r>
      <w:r>
        <w:rPr>
          <w:spacing w:val="-1"/>
        </w:rPr>
        <w:t> </w:t>
      </w:r>
      <w:r>
        <w:rPr/>
        <w:t>utilizados para a expansão dos serviços, com a instalação de novas redes e equipamentos em áreas não atendidas ou insuficientemente atendidas, ampliando o alcance da iluminação pública para beneficiar mais pessoas e melhorar a segurança e qualidade de vida. Também é inerente à lógica da aplicação dos recursos da COSIP a melhoria do serviço, como a substituição de equipamentos antigos por tecnologias mais modernas e eficientes, incluindo a troca de lâmpadas convencionais por luminárias LED, que consomem menos energia e são mais duráveis. A inclusão de despesas com pessoal, equipamentos, veículos e utilidades no escopo da COSIP justifica-se pela necessidade de garantir a operação contínua e eficiente do serviço de iluminação pública. Sem recursos para remunerar os trabalhadores responsáveis pela manutenção e supervisão, ou</w:t>
      </w:r>
      <w:r>
        <w:rPr>
          <w:spacing w:val="40"/>
        </w:rPr>
        <w:t> </w:t>
      </w:r>
      <w:r>
        <w:rPr/>
        <w:t>para adquirir os veículos e equipamentos necessários às intervenções na rede, a prestação regular do serviço seria inviável. O Pleno Virtual do Tribunal de Contas do Estado do Ceará, por maioria de votos, respondeu que: a) É</w:t>
      </w:r>
      <w:r>
        <w:rPr>
          <w:spacing w:val="25"/>
        </w:rPr>
        <w:t> </w:t>
      </w:r>
      <w:r>
        <w:rPr/>
        <w:t>possível custear despesas de iluminação pública relacionadas a bens de uso comum do povo, por meio das receitas com a cobrança da Contribuição de Iluminação Pública (COSIP); b) Essas despesas podem incluir gastos com pessoal, insumos, equipamentos, inclusive locação de veículos, desde que destinados diretamente à prestação de serviço de iluminação pública.</w:t>
      </w:r>
    </w:p>
    <w:p>
      <w:pPr>
        <w:spacing w:before="207"/>
        <w:ind w:left="157" w:right="0" w:firstLine="0"/>
        <w:jc w:val="both"/>
        <w:rPr>
          <w:sz w:val="18"/>
        </w:rPr>
      </w:pPr>
      <w:r>
        <w:rPr>
          <w:sz w:val="18"/>
        </w:rPr>
        <mc:AlternateContent>
          <mc:Choice Requires="wps">
            <w:drawing>
              <wp:anchor distT="0" distB="0" distL="0" distR="0" allowOverlap="1" layoutInCell="1" locked="0" behindDoc="0" simplePos="0" relativeHeight="15731200">
                <wp:simplePos x="0" y="0"/>
                <wp:positionH relativeFrom="page">
                  <wp:posOffset>366395</wp:posOffset>
                </wp:positionH>
                <wp:positionV relativeFrom="paragraph">
                  <wp:posOffset>380690</wp:posOffset>
                </wp:positionV>
                <wp:extent cx="6824345" cy="432434"/>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824345" cy="432434"/>
                          <a:chExt cx="6824345" cy="432434"/>
                        </a:xfrm>
                      </wpg:grpSpPr>
                      <pic:pic>
                        <pic:nvPicPr>
                          <pic:cNvPr id="13" name="Image 13"/>
                          <pic:cNvPicPr/>
                        </pic:nvPicPr>
                        <pic:blipFill>
                          <a:blip r:embed="rId8" cstate="print"/>
                          <a:stretch>
                            <a:fillRect/>
                          </a:stretch>
                        </pic:blipFill>
                        <pic:spPr>
                          <a:xfrm>
                            <a:off x="0" y="0"/>
                            <a:ext cx="6824345" cy="432435"/>
                          </a:xfrm>
                          <a:prstGeom prst="rect">
                            <a:avLst/>
                          </a:prstGeom>
                        </pic:spPr>
                      </pic:pic>
                      <wps:wsp>
                        <wps:cNvPr id="14" name="Textbox 14"/>
                        <wps:cNvSpPr txBox="1"/>
                        <wps:spPr>
                          <a:xfrm>
                            <a:off x="0" y="0"/>
                            <a:ext cx="6824345" cy="432434"/>
                          </a:xfrm>
                          <a:prstGeom prst="rect">
                            <a:avLst/>
                          </a:prstGeom>
                        </wps:spPr>
                        <wps:txbx>
                          <w:txbxContent>
                            <w:p>
                              <w:pPr>
                                <w:spacing w:before="22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1546/2025</w:t>
                              </w:r>
                            </w:p>
                          </w:txbxContent>
                        </wps:txbx>
                        <wps:bodyPr wrap="square" lIns="0" tIns="0" rIns="0" bIns="0" rtlCol="0">
                          <a:noAutofit/>
                        </wps:bodyPr>
                      </wps:wsp>
                    </wpg:wgp>
                  </a:graphicData>
                </a:graphic>
              </wp:anchor>
            </w:drawing>
          </mc:Choice>
          <mc:Fallback>
            <w:pict>
              <v:group style="position:absolute;margin-left:28.85pt;margin-top:29.975649pt;width:537.35pt;height:34.050pt;mso-position-horizontal-relative:page;mso-position-vertical-relative:paragraph;z-index:15731200" id="docshapegroup10" coordorigin="577,600" coordsize="10747,681">
                <v:shape style="position:absolute;left:577;top:599;width:10747;height:681" type="#_x0000_t75" id="docshape11" stroked="false">
                  <v:imagedata r:id="rId8" o:title=""/>
                </v:shape>
                <v:shape style="position:absolute;left:577;top:599;width:10747;height:681" type="#_x0000_t202" id="docshape12" filled="false" stroked="false">
                  <v:textbox inset="0,0,0,0">
                    <w:txbxContent>
                      <w:p>
                        <w:pPr>
                          <w:spacing w:before="22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1546/2025</w:t>
                        </w:r>
                      </w:p>
                    </w:txbxContent>
                  </v:textbox>
                  <w10:wrap type="none"/>
                </v:shape>
                <w10:wrap type="none"/>
              </v:group>
            </w:pict>
          </mc:Fallback>
        </mc:AlternateContent>
      </w:r>
      <w:r>
        <w:rPr>
          <w:sz w:val="18"/>
        </w:rPr>
        <w:t>Processo</w:t>
      </w:r>
      <w:r>
        <w:rPr>
          <w:spacing w:val="-5"/>
          <w:sz w:val="18"/>
        </w:rPr>
        <w:t> </w:t>
      </w:r>
      <w:r>
        <w:rPr>
          <w:sz w:val="18"/>
        </w:rPr>
        <w:t>n.º</w:t>
      </w:r>
      <w:r>
        <w:rPr>
          <w:spacing w:val="-4"/>
          <w:sz w:val="18"/>
        </w:rPr>
        <w:t> </w:t>
      </w:r>
      <w:r>
        <w:rPr>
          <w:sz w:val="18"/>
        </w:rPr>
        <w:t>15833/2024-0.</w:t>
      </w:r>
      <w:r>
        <w:rPr>
          <w:spacing w:val="64"/>
          <w:w w:val="150"/>
          <w:sz w:val="18"/>
        </w:rPr>
        <w:t> </w:t>
      </w:r>
      <w:r>
        <w:rPr>
          <w:sz w:val="18"/>
        </w:rPr>
        <w:t>Relator(a):</w:t>
      </w:r>
      <w:r>
        <w:rPr>
          <w:spacing w:val="-4"/>
          <w:sz w:val="18"/>
        </w:rPr>
        <w:t> </w:t>
      </w:r>
      <w:r>
        <w:rPr>
          <w:sz w:val="18"/>
        </w:rPr>
        <w:t>Cons.</w:t>
      </w:r>
      <w:r>
        <w:rPr>
          <w:spacing w:val="-5"/>
          <w:sz w:val="18"/>
        </w:rPr>
        <w:t> </w:t>
      </w:r>
      <w:r>
        <w:rPr>
          <w:sz w:val="18"/>
        </w:rPr>
        <w:t>Edilberto</w:t>
      </w:r>
      <w:r>
        <w:rPr>
          <w:spacing w:val="-2"/>
          <w:sz w:val="18"/>
        </w:rPr>
        <w:t> </w:t>
      </w:r>
      <w:r>
        <w:rPr>
          <w:sz w:val="18"/>
        </w:rPr>
        <w:t>Pontes.</w:t>
      </w:r>
      <w:r>
        <w:rPr>
          <w:spacing w:val="64"/>
          <w:w w:val="150"/>
          <w:sz w:val="18"/>
        </w:rPr>
        <w:t> </w:t>
      </w:r>
      <w:r>
        <w:rPr>
          <w:sz w:val="18"/>
        </w:rPr>
        <w:t>Sessão</w:t>
      </w:r>
      <w:r>
        <w:rPr>
          <w:spacing w:val="-4"/>
          <w:sz w:val="18"/>
        </w:rPr>
        <w:t> </w:t>
      </w:r>
      <w:r>
        <w:rPr>
          <w:sz w:val="18"/>
        </w:rPr>
        <w:t>Virtual</w:t>
      </w:r>
      <w:r>
        <w:rPr>
          <w:spacing w:val="-5"/>
          <w:sz w:val="18"/>
        </w:rPr>
        <w:t> </w:t>
      </w:r>
      <w:r>
        <w:rPr>
          <w:sz w:val="18"/>
        </w:rPr>
        <w:t>de</w:t>
      </w:r>
      <w:r>
        <w:rPr>
          <w:spacing w:val="-4"/>
          <w:sz w:val="18"/>
        </w:rPr>
        <w:t> </w:t>
      </w:r>
      <w:r>
        <w:rPr>
          <w:sz w:val="18"/>
        </w:rPr>
        <w:t>17/03/2025.</w:t>
      </w:r>
      <w:r>
        <w:rPr>
          <w:spacing w:val="66"/>
          <w:w w:val="150"/>
          <w:sz w:val="18"/>
        </w:rPr>
        <w:t> </w:t>
      </w:r>
      <w:r>
        <w:rPr>
          <w:sz w:val="18"/>
        </w:rPr>
        <w:t>Ata</w:t>
      </w:r>
      <w:r>
        <w:rPr>
          <w:spacing w:val="-4"/>
          <w:sz w:val="18"/>
        </w:rPr>
        <w:t> </w:t>
      </w:r>
      <w:r>
        <w:rPr>
          <w:sz w:val="18"/>
        </w:rPr>
        <w:t>n.º</w:t>
      </w:r>
      <w:r>
        <w:rPr>
          <w:spacing w:val="-4"/>
          <w:sz w:val="18"/>
        </w:rPr>
        <w:t> </w:t>
      </w:r>
      <w:r>
        <w:rPr>
          <w:sz w:val="18"/>
        </w:rPr>
        <w:t>227/2025.</w:t>
      </w:r>
      <w:r>
        <w:rPr>
          <w:spacing w:val="44"/>
          <w:sz w:val="18"/>
        </w:rPr>
        <w:t> </w:t>
      </w:r>
      <w:r>
        <w:rPr>
          <w:sz w:val="18"/>
        </w:rPr>
        <w:t>DO:</w:t>
      </w:r>
      <w:r>
        <w:rPr>
          <w:spacing w:val="-5"/>
          <w:sz w:val="18"/>
        </w:rPr>
        <w:t> </w:t>
      </w:r>
      <w:r>
        <w:rPr>
          <w:spacing w:val="-2"/>
          <w:sz w:val="18"/>
        </w:rPr>
        <w:t>07/04/2025.</w:t>
      </w:r>
    </w:p>
    <w:p>
      <w:pPr>
        <w:pStyle w:val="BodyText"/>
        <w:rPr>
          <w:sz w:val="24"/>
        </w:rPr>
      </w:pPr>
    </w:p>
    <w:p>
      <w:pPr>
        <w:pStyle w:val="BodyText"/>
        <w:rPr>
          <w:sz w:val="24"/>
        </w:rPr>
      </w:pPr>
    </w:p>
    <w:p>
      <w:pPr>
        <w:pStyle w:val="BodyText"/>
        <w:spacing w:before="253"/>
        <w:rPr>
          <w:sz w:val="24"/>
        </w:rPr>
      </w:pPr>
    </w:p>
    <w:p>
      <w:pPr>
        <w:pStyle w:val="Heading1"/>
        <w:spacing w:before="0"/>
        <w:ind w:right="25"/>
      </w:pPr>
      <w:r>
        <w:rPr/>
        <w:t>REPRESENTAÇÃO. SERVIDOR PÚBLICO. CARGO PÚBLICO. ACUMULAÇÃO DE CARGO. INCOMPATIBILIDADE DE HORÁRIO. EFETIVA PRESTAÇÃO DE SERVIÇO. PROCEDÊNCIA PARCIAL. RECOMENDAÇÃO.</w:t>
      </w:r>
    </w:p>
    <w:p>
      <w:pPr>
        <w:pStyle w:val="BodyText"/>
        <w:spacing w:before="208"/>
        <w:ind w:left="157" w:right="30"/>
        <w:jc w:val="both"/>
      </w:pPr>
      <w:r>
        <w:rPr/>
        <w:t>Representação acerca de possíveis irregularidades, com base nas informações registradas no CNES, relacionadas à acumulação tríplice de cargos públicos na</w:t>
      </w:r>
      <w:r>
        <w:rPr>
          <w:spacing w:val="-1"/>
        </w:rPr>
        <w:t> </w:t>
      </w:r>
      <w:r>
        <w:rPr/>
        <w:t>área de saúde, incompatibilidade de</w:t>
      </w:r>
      <w:r>
        <w:rPr>
          <w:spacing w:val="-1"/>
        </w:rPr>
        <w:t> </w:t>
      </w:r>
      <w:r>
        <w:rPr/>
        <w:t>horários e</w:t>
      </w:r>
      <w:r>
        <w:rPr>
          <w:spacing w:val="-1"/>
        </w:rPr>
        <w:t> </w:t>
      </w:r>
      <w:r>
        <w:rPr/>
        <w:t>não prestação de</w:t>
      </w:r>
      <w:r>
        <w:rPr>
          <w:spacing w:val="-1"/>
        </w:rPr>
        <w:t> </w:t>
      </w:r>
      <w:r>
        <w:rPr/>
        <w:t>serviços por parte</w:t>
      </w:r>
      <w:r>
        <w:rPr>
          <w:spacing w:val="-2"/>
        </w:rPr>
        <w:t> </w:t>
      </w:r>
      <w:r>
        <w:rPr/>
        <w:t>de</w:t>
      </w:r>
      <w:r>
        <w:rPr>
          <w:spacing w:val="-2"/>
        </w:rPr>
        <w:t> </w:t>
      </w:r>
      <w:r>
        <w:rPr/>
        <w:t>servidores</w:t>
      </w:r>
      <w:r>
        <w:rPr>
          <w:spacing w:val="-2"/>
        </w:rPr>
        <w:t> </w:t>
      </w:r>
      <w:r>
        <w:rPr/>
        <w:t>públicos</w:t>
      </w:r>
      <w:r>
        <w:rPr>
          <w:spacing w:val="-2"/>
        </w:rPr>
        <w:t> </w:t>
      </w:r>
      <w:r>
        <w:rPr/>
        <w:t>de</w:t>
      </w:r>
      <w:r>
        <w:rPr>
          <w:spacing w:val="-2"/>
        </w:rPr>
        <w:t> </w:t>
      </w:r>
      <w:r>
        <w:rPr/>
        <w:t>diversos</w:t>
      </w:r>
      <w:r>
        <w:rPr>
          <w:spacing w:val="-2"/>
        </w:rPr>
        <w:t> </w:t>
      </w:r>
      <w:r>
        <w:rPr/>
        <w:t>entes públicos cearenses.</w:t>
      </w:r>
      <w:r>
        <w:rPr>
          <w:spacing w:val="-2"/>
        </w:rPr>
        <w:t> </w:t>
      </w:r>
      <w:r>
        <w:rPr/>
        <w:t>Em</w:t>
      </w:r>
      <w:r>
        <w:rPr>
          <w:spacing w:val="-3"/>
        </w:rPr>
        <w:t> </w:t>
      </w:r>
      <w:r>
        <w:rPr/>
        <w:t>função do</w:t>
      </w:r>
      <w:r>
        <w:rPr>
          <w:spacing w:val="-2"/>
        </w:rPr>
        <w:t> </w:t>
      </w:r>
      <w:r>
        <w:rPr/>
        <w:t>fato</w:t>
      </w:r>
      <w:r>
        <w:rPr>
          <w:spacing w:val="-2"/>
        </w:rPr>
        <w:t> </w:t>
      </w:r>
      <w:r>
        <w:rPr/>
        <w:t>de</w:t>
      </w:r>
      <w:r>
        <w:rPr>
          <w:spacing w:val="-2"/>
        </w:rPr>
        <w:t> </w:t>
      </w:r>
      <w:r>
        <w:rPr/>
        <w:t>que</w:t>
      </w:r>
      <w:r>
        <w:rPr>
          <w:spacing w:val="-2"/>
        </w:rPr>
        <w:t> </w:t>
      </w:r>
      <w:r>
        <w:rPr/>
        <w:t>a</w:t>
      </w:r>
      <w:r>
        <w:rPr>
          <w:spacing w:val="-2"/>
        </w:rPr>
        <w:t> </w:t>
      </w:r>
      <w:r>
        <w:rPr/>
        <w:t>confiabilidade</w:t>
      </w:r>
      <w:r>
        <w:rPr>
          <w:spacing w:val="-2"/>
        </w:rPr>
        <w:t> </w:t>
      </w:r>
      <w:r>
        <w:rPr/>
        <w:t>dos</w:t>
      </w:r>
      <w:r>
        <w:rPr>
          <w:spacing w:val="-2"/>
        </w:rPr>
        <w:t> </w:t>
      </w:r>
      <w:r>
        <w:rPr/>
        <w:t>dados contidos no sistema é uma questão complexa e multifacetada, podendo apresentar inconsistências, imprecisões e desatualizações em sua base de dados. O Pleno Virtual do Tribunal de Contas do Estado do Ceará, por maioria dos votos, julgou parcialmente procedente a Representação com encaminhamento de ofício circular às Secretarias Municipais e Estaduais de Saúde, para que procedam à imediata abertura de procedimento administrativo com o propósito</w:t>
      </w:r>
      <w:r>
        <w:rPr>
          <w:spacing w:val="-3"/>
        </w:rPr>
        <w:t> </w:t>
      </w:r>
      <w:r>
        <w:rPr/>
        <w:t>de</w:t>
      </w:r>
      <w:r>
        <w:rPr>
          <w:spacing w:val="-3"/>
        </w:rPr>
        <w:t> </w:t>
      </w:r>
      <w:r>
        <w:rPr/>
        <w:t>atualizar</w:t>
      </w:r>
      <w:r>
        <w:rPr>
          <w:spacing w:val="-4"/>
        </w:rPr>
        <w:t> </w:t>
      </w:r>
      <w:r>
        <w:rPr/>
        <w:t>e</w:t>
      </w:r>
      <w:r>
        <w:rPr>
          <w:spacing w:val="-3"/>
        </w:rPr>
        <w:t> </w:t>
      </w:r>
      <w:r>
        <w:rPr/>
        <w:t>corrigir</w:t>
      </w:r>
      <w:r>
        <w:rPr>
          <w:spacing w:val="-2"/>
        </w:rPr>
        <w:t> </w:t>
      </w:r>
      <w:r>
        <w:rPr/>
        <w:t>possíveis</w:t>
      </w:r>
      <w:r>
        <w:rPr>
          <w:spacing w:val="-3"/>
        </w:rPr>
        <w:t> </w:t>
      </w:r>
      <w:r>
        <w:rPr/>
        <w:t>inconsistências</w:t>
      </w:r>
      <w:r>
        <w:rPr>
          <w:spacing w:val="-5"/>
        </w:rPr>
        <w:t> </w:t>
      </w:r>
      <w:r>
        <w:rPr/>
        <w:t>dos</w:t>
      </w:r>
      <w:r>
        <w:rPr>
          <w:spacing w:val="-5"/>
        </w:rPr>
        <w:t> </w:t>
      </w:r>
      <w:r>
        <w:rPr/>
        <w:t>dados</w:t>
      </w:r>
      <w:r>
        <w:rPr>
          <w:spacing w:val="-5"/>
        </w:rPr>
        <w:t> </w:t>
      </w:r>
      <w:r>
        <w:rPr/>
        <w:t>de</w:t>
      </w:r>
      <w:r>
        <w:rPr>
          <w:spacing w:val="-4"/>
        </w:rPr>
        <w:t> </w:t>
      </w:r>
      <w:r>
        <w:rPr/>
        <w:t>seus</w:t>
      </w:r>
      <w:r>
        <w:rPr>
          <w:spacing w:val="-3"/>
        </w:rPr>
        <w:t> </w:t>
      </w:r>
      <w:r>
        <w:rPr/>
        <w:t>profissionais</w:t>
      </w:r>
      <w:r>
        <w:rPr>
          <w:spacing w:val="-3"/>
        </w:rPr>
        <w:t> </w:t>
      </w:r>
      <w:r>
        <w:rPr/>
        <w:t>constantes</w:t>
      </w:r>
      <w:r>
        <w:rPr>
          <w:spacing w:val="-3"/>
        </w:rPr>
        <w:t> </w:t>
      </w:r>
      <w:r>
        <w:rPr/>
        <w:t>no</w:t>
      </w:r>
      <w:r>
        <w:rPr>
          <w:spacing w:val="-3"/>
        </w:rPr>
        <w:t> </w:t>
      </w:r>
      <w:r>
        <w:rPr/>
        <w:t>CNES,</w:t>
      </w:r>
      <w:r>
        <w:rPr>
          <w:spacing w:val="-3"/>
        </w:rPr>
        <w:t> </w:t>
      </w:r>
      <w:r>
        <w:rPr/>
        <w:t>devendo adotar as</w:t>
      </w:r>
      <w:r>
        <w:rPr>
          <w:spacing w:val="-1"/>
        </w:rPr>
        <w:t> </w:t>
      </w:r>
      <w:r>
        <w:rPr/>
        <w:t>medidas cabíveis objetivando:</w:t>
      </w:r>
      <w:r>
        <w:rPr>
          <w:spacing w:val="-1"/>
        </w:rPr>
        <w:t> </w:t>
      </w:r>
      <w:r>
        <w:rPr/>
        <w:t>(i) cessar possíveis acumulações indevidas de mais de</w:t>
      </w:r>
      <w:r>
        <w:rPr>
          <w:spacing w:val="-1"/>
        </w:rPr>
        <w:t> </w:t>
      </w:r>
      <w:r>
        <w:rPr/>
        <w:t>dois cargos/funções; (ii) verificar a compatibilidade de horários e a efetiva prestação de serviços nos casos de acumulação de cargos identificados; e (iii) constatar a efetiva prestação de serviços nos casos de profissionais que prestam serviços em várias localidades distintas. Que seja recomendado às Secretarias Municipais e Estadual de Saúde, que aprimorem seus mecanismos de controle interno relacionados à gestão de recursos humanos, que promovam a contínua capacitação</w:t>
      </w:r>
      <w:r>
        <w:rPr>
          <w:spacing w:val="40"/>
        </w:rPr>
        <w:t> </w:t>
      </w:r>
      <w:r>
        <w:rPr/>
        <w:t>dos profissionais responsáveis pela alimentação dos dados do CNES, e que realizem a validação periódica dos dados inseridos no citado sistema, com o objetivo de evitar a ocorrência das irregularidades tratadas neste feito e a consequente punição dos agentes responsáveis.</w:t>
      </w:r>
    </w:p>
    <w:p>
      <w:pPr>
        <w:spacing w:before="207"/>
        <w:ind w:left="157" w:right="0" w:firstLine="0"/>
        <w:jc w:val="both"/>
        <w:rPr>
          <w:sz w:val="18"/>
        </w:rPr>
      </w:pPr>
      <w:r>
        <w:rPr>
          <w:sz w:val="18"/>
        </w:rPr>
        <w:t>Processo</w:t>
      </w:r>
      <w:r>
        <w:rPr>
          <w:spacing w:val="-4"/>
          <w:sz w:val="18"/>
        </w:rPr>
        <w:t> </w:t>
      </w:r>
      <w:r>
        <w:rPr>
          <w:sz w:val="18"/>
        </w:rPr>
        <w:t>n.º</w:t>
      </w:r>
      <w:r>
        <w:rPr>
          <w:spacing w:val="-4"/>
          <w:sz w:val="18"/>
        </w:rPr>
        <w:t> </w:t>
      </w:r>
      <w:r>
        <w:rPr>
          <w:sz w:val="18"/>
        </w:rPr>
        <w:t>08949/2023-9.</w:t>
      </w:r>
      <w:r>
        <w:rPr>
          <w:spacing w:val="44"/>
          <w:sz w:val="18"/>
        </w:rPr>
        <w:t>  </w:t>
      </w:r>
      <w:r>
        <w:rPr>
          <w:sz w:val="18"/>
        </w:rPr>
        <w:t>Relator(a):</w:t>
      </w:r>
      <w:r>
        <w:rPr>
          <w:spacing w:val="-2"/>
          <w:sz w:val="18"/>
        </w:rPr>
        <w:t> </w:t>
      </w:r>
      <w:r>
        <w:rPr>
          <w:sz w:val="18"/>
        </w:rPr>
        <w:t>Cons(a).</w:t>
      </w:r>
      <w:r>
        <w:rPr>
          <w:spacing w:val="-4"/>
          <w:sz w:val="18"/>
        </w:rPr>
        <w:t> </w:t>
      </w:r>
      <w:r>
        <w:rPr>
          <w:sz w:val="18"/>
        </w:rPr>
        <w:t>Onélia</w:t>
      </w:r>
      <w:r>
        <w:rPr>
          <w:spacing w:val="-2"/>
          <w:sz w:val="18"/>
        </w:rPr>
        <w:t> </w:t>
      </w:r>
      <w:r>
        <w:rPr>
          <w:sz w:val="18"/>
        </w:rPr>
        <w:t>Leite.</w:t>
      </w:r>
      <w:r>
        <w:rPr>
          <w:spacing w:val="44"/>
          <w:sz w:val="18"/>
        </w:rPr>
        <w:t>  </w:t>
      </w:r>
      <w:r>
        <w:rPr>
          <w:sz w:val="18"/>
        </w:rPr>
        <w:t>Sessão</w:t>
      </w:r>
      <w:r>
        <w:rPr>
          <w:spacing w:val="-2"/>
          <w:sz w:val="18"/>
        </w:rPr>
        <w:t> </w:t>
      </w:r>
      <w:r>
        <w:rPr>
          <w:sz w:val="18"/>
        </w:rPr>
        <w:t>Virtual</w:t>
      </w:r>
      <w:r>
        <w:rPr>
          <w:spacing w:val="-4"/>
          <w:sz w:val="18"/>
        </w:rPr>
        <w:t> </w:t>
      </w:r>
      <w:r>
        <w:rPr>
          <w:sz w:val="18"/>
        </w:rPr>
        <w:t>de</w:t>
      </w:r>
      <w:r>
        <w:rPr>
          <w:spacing w:val="-3"/>
          <w:sz w:val="18"/>
        </w:rPr>
        <w:t> </w:t>
      </w:r>
      <w:r>
        <w:rPr>
          <w:sz w:val="18"/>
        </w:rPr>
        <w:t>17/03/2025.</w:t>
      </w:r>
      <w:r>
        <w:rPr>
          <w:spacing w:val="66"/>
          <w:w w:val="150"/>
          <w:sz w:val="18"/>
        </w:rPr>
        <w:t> </w:t>
      </w:r>
      <w:r>
        <w:rPr>
          <w:sz w:val="18"/>
        </w:rPr>
        <w:t>Ata</w:t>
      </w:r>
      <w:r>
        <w:rPr>
          <w:spacing w:val="-4"/>
          <w:sz w:val="18"/>
        </w:rPr>
        <w:t> </w:t>
      </w:r>
      <w:r>
        <w:rPr>
          <w:sz w:val="18"/>
        </w:rPr>
        <w:t>n.º</w:t>
      </w:r>
      <w:r>
        <w:rPr>
          <w:spacing w:val="-3"/>
          <w:sz w:val="18"/>
        </w:rPr>
        <w:t> </w:t>
      </w:r>
      <w:r>
        <w:rPr>
          <w:sz w:val="18"/>
        </w:rPr>
        <w:t>227/2025.</w:t>
      </w:r>
      <w:r>
        <w:rPr>
          <w:spacing w:val="68"/>
          <w:w w:val="150"/>
          <w:sz w:val="18"/>
        </w:rPr>
        <w:t> </w:t>
      </w:r>
      <w:r>
        <w:rPr>
          <w:sz w:val="18"/>
        </w:rPr>
        <w:t>DO:</w:t>
      </w:r>
      <w:r>
        <w:rPr>
          <w:spacing w:val="-4"/>
          <w:sz w:val="18"/>
        </w:rPr>
        <w:t> </w:t>
      </w:r>
      <w:r>
        <w:rPr>
          <w:spacing w:val="-2"/>
          <w:sz w:val="18"/>
        </w:rPr>
        <w:t>07/04/2025.</w:t>
      </w:r>
    </w:p>
    <w:p>
      <w:pPr>
        <w:pStyle w:val="BodyText"/>
        <w:spacing w:before="11"/>
        <w:rPr>
          <w:sz w:val="16"/>
        </w:rPr>
      </w:pPr>
      <w:r>
        <w:rPr>
          <w:sz w:val="16"/>
        </w:rPr>
        <mc:AlternateContent>
          <mc:Choice Requires="wps">
            <w:drawing>
              <wp:anchor distT="0" distB="0" distL="0" distR="0" allowOverlap="1" layoutInCell="1" locked="0" behindDoc="1" simplePos="0" relativeHeight="487589888">
                <wp:simplePos x="0" y="0"/>
                <wp:positionH relativeFrom="page">
                  <wp:posOffset>390525</wp:posOffset>
                </wp:positionH>
                <wp:positionV relativeFrom="paragraph">
                  <wp:posOffset>139065</wp:posOffset>
                </wp:positionV>
                <wp:extent cx="6736080" cy="41402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736080" cy="414020"/>
                          <a:chExt cx="6736080" cy="414020"/>
                        </a:xfrm>
                      </wpg:grpSpPr>
                      <pic:pic>
                        <pic:nvPicPr>
                          <pic:cNvPr id="16" name="Image 16"/>
                          <pic:cNvPicPr/>
                        </pic:nvPicPr>
                        <pic:blipFill>
                          <a:blip r:embed="rId9" cstate="print"/>
                          <a:stretch>
                            <a:fillRect/>
                          </a:stretch>
                        </pic:blipFill>
                        <pic:spPr>
                          <a:xfrm>
                            <a:off x="0" y="0"/>
                            <a:ext cx="6735721" cy="414019"/>
                          </a:xfrm>
                          <a:prstGeom prst="rect">
                            <a:avLst/>
                          </a:prstGeom>
                        </pic:spPr>
                      </pic:pic>
                      <wps:wsp>
                        <wps:cNvPr id="17" name="Textbox 17"/>
                        <wps:cNvSpPr txBox="1"/>
                        <wps:spPr>
                          <a:xfrm>
                            <a:off x="0" y="0"/>
                            <a:ext cx="6736080" cy="414020"/>
                          </a:xfrm>
                          <a:prstGeom prst="rect">
                            <a:avLst/>
                          </a:prstGeom>
                        </wps:spPr>
                        <wps:txbx>
                          <w:txbxContent>
                            <w:p>
                              <w:pPr>
                                <w:spacing w:line="240" w:lineRule="auto" w:before="11"/>
                                <w:rPr>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1683/2025</w:t>
                              </w:r>
                            </w:p>
                          </w:txbxContent>
                        </wps:txbx>
                        <wps:bodyPr wrap="square" lIns="0" tIns="0" rIns="0" bIns="0" rtlCol="0">
                          <a:noAutofit/>
                        </wps:bodyPr>
                      </wps:wsp>
                    </wpg:wgp>
                  </a:graphicData>
                </a:graphic>
              </wp:anchor>
            </w:drawing>
          </mc:Choice>
          <mc:Fallback>
            <w:pict>
              <v:group style="position:absolute;margin-left:30.75pt;margin-top:10.950063pt;width:530.4pt;height:32.6pt;mso-position-horizontal-relative:page;mso-position-vertical-relative:paragraph;z-index:-15726592;mso-wrap-distance-left:0;mso-wrap-distance-right:0" id="docshapegroup13" coordorigin="615,219" coordsize="10608,652">
                <v:shape style="position:absolute;left:615;top:219;width:10608;height:652" type="#_x0000_t75" id="docshape14" stroked="false">
                  <v:imagedata r:id="rId9" o:title=""/>
                </v:shape>
                <v:shape style="position:absolute;left:615;top:219;width:10608;height:652" type="#_x0000_t202" id="docshape15" filled="false" stroked="false">
                  <v:textbox inset="0,0,0,0">
                    <w:txbxContent>
                      <w:p>
                        <w:pPr>
                          <w:spacing w:line="240" w:lineRule="auto" w:before="11"/>
                          <w:rPr>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1683/2025</w:t>
                        </w:r>
                      </w:p>
                    </w:txbxContent>
                  </v:textbox>
                  <w10:wrap type="none"/>
                </v:shape>
                <w10:wrap type="topAndBottom"/>
              </v:group>
            </w:pict>
          </mc:Fallback>
        </mc:AlternateContent>
      </w:r>
    </w:p>
    <w:p>
      <w:pPr>
        <w:pStyle w:val="BodyText"/>
        <w:spacing w:before="3"/>
        <w:rPr>
          <w:sz w:val="24"/>
        </w:rPr>
      </w:pPr>
    </w:p>
    <w:p>
      <w:pPr>
        <w:pStyle w:val="Heading1"/>
      </w:pPr>
      <w:r>
        <w:rPr/>
        <w:t>REPRESENTAÇÃO. CONCORRÊNCIA PÚBLICA. REVOGAÇÃO. PERDA OBJETO. MEDIDA CAUTELAR. EXAME DE MÉRITO. PROCEDÊNCIA.</w:t>
      </w:r>
    </w:p>
    <w:p>
      <w:pPr>
        <w:pStyle w:val="BodyText"/>
        <w:spacing w:before="183"/>
        <w:ind w:left="157" w:right="36"/>
        <w:jc w:val="both"/>
      </w:pPr>
      <w:r>
        <w:rPr/>
        <w:t>A revogação/anulação das licitações, embora acarrete a perda do objeto da medida cautelar, não enseja a perda do objeto da Representação após inaugurada a fase do contraditório, sendo necessário o exame do mérito do processo com o objetivo de evitar a repetição de procedimento licitatório com as mesmas irregularidades. Diante da constatação</w:t>
      </w:r>
    </w:p>
    <w:p>
      <w:pPr>
        <w:pStyle w:val="BodyText"/>
        <w:spacing w:after="0"/>
        <w:jc w:val="both"/>
        <w:sectPr>
          <w:pgSz w:w="11910" w:h="16840"/>
          <w:pgMar w:header="0" w:footer="722" w:top="1920" w:bottom="920" w:left="425" w:right="566"/>
        </w:sectPr>
      </w:pPr>
    </w:p>
    <w:p>
      <w:pPr>
        <w:pStyle w:val="BodyText"/>
        <w:spacing w:before="8"/>
      </w:pPr>
    </w:p>
    <w:p>
      <w:pPr>
        <w:pStyle w:val="BodyText"/>
        <w:ind w:left="157" w:right="29"/>
        <w:jc w:val="both"/>
      </w:pPr>
      <w:r>
        <w:rPr/>
        <w:t>da</w:t>
      </w:r>
      <w:r>
        <w:rPr>
          <w:spacing w:val="-2"/>
        </w:rPr>
        <w:t> </w:t>
      </w:r>
      <w:r>
        <w:rPr/>
        <w:t>realização</w:t>
      </w:r>
      <w:r>
        <w:rPr>
          <w:spacing w:val="-2"/>
        </w:rPr>
        <w:t> </w:t>
      </w:r>
      <w:r>
        <w:rPr/>
        <w:t>de</w:t>
      </w:r>
      <w:r>
        <w:rPr>
          <w:spacing w:val="-3"/>
        </w:rPr>
        <w:t> </w:t>
      </w:r>
      <w:r>
        <w:rPr/>
        <w:t>atos</w:t>
      </w:r>
      <w:r>
        <w:rPr>
          <w:spacing w:val="-2"/>
        </w:rPr>
        <w:t> </w:t>
      </w:r>
      <w:r>
        <w:rPr/>
        <w:t>considerados</w:t>
      </w:r>
      <w:r>
        <w:rPr>
          <w:spacing w:val="-2"/>
        </w:rPr>
        <w:t> </w:t>
      </w:r>
      <w:r>
        <w:rPr/>
        <w:t>ilegais,</w:t>
      </w:r>
      <w:r>
        <w:rPr>
          <w:spacing w:val="-2"/>
        </w:rPr>
        <w:t> </w:t>
      </w:r>
      <w:r>
        <w:rPr/>
        <w:t>cabe</w:t>
      </w:r>
      <w:r>
        <w:rPr>
          <w:spacing w:val="-2"/>
        </w:rPr>
        <w:t> </w:t>
      </w:r>
      <w:r>
        <w:rPr/>
        <w:t>ao</w:t>
      </w:r>
      <w:r>
        <w:rPr>
          <w:spacing w:val="-2"/>
        </w:rPr>
        <w:t> </w:t>
      </w:r>
      <w:r>
        <w:rPr/>
        <w:t>Tribunal</w:t>
      </w:r>
      <w:r>
        <w:rPr>
          <w:spacing w:val="-3"/>
        </w:rPr>
        <w:t> </w:t>
      </w:r>
      <w:r>
        <w:rPr/>
        <w:t>de</w:t>
      </w:r>
      <w:r>
        <w:rPr>
          <w:spacing w:val="-2"/>
        </w:rPr>
        <w:t> </w:t>
      </w:r>
      <w:r>
        <w:rPr/>
        <w:t>Contas</w:t>
      </w:r>
      <w:r>
        <w:rPr>
          <w:spacing w:val="-2"/>
        </w:rPr>
        <w:t> </w:t>
      </w:r>
      <w:r>
        <w:rPr/>
        <w:t>exercer</w:t>
      </w:r>
      <w:r>
        <w:rPr>
          <w:spacing w:val="-3"/>
        </w:rPr>
        <w:t> </w:t>
      </w:r>
      <w:r>
        <w:rPr/>
        <w:t>a</w:t>
      </w:r>
      <w:r>
        <w:rPr>
          <w:spacing w:val="-2"/>
        </w:rPr>
        <w:t> </w:t>
      </w:r>
      <w:r>
        <w:rPr/>
        <w:t>sua</w:t>
      </w:r>
      <w:r>
        <w:rPr>
          <w:spacing w:val="-3"/>
        </w:rPr>
        <w:t> </w:t>
      </w:r>
      <w:r>
        <w:rPr/>
        <w:t>função</w:t>
      </w:r>
      <w:r>
        <w:rPr>
          <w:spacing w:val="-3"/>
        </w:rPr>
        <w:t> </w:t>
      </w:r>
      <w:r>
        <w:rPr/>
        <w:t>corretiva</w:t>
      </w:r>
      <w:r>
        <w:rPr>
          <w:spacing w:val="-3"/>
        </w:rPr>
        <w:t> </w:t>
      </w:r>
      <w:r>
        <w:rPr/>
        <w:t>e</w:t>
      </w:r>
      <w:r>
        <w:rPr>
          <w:spacing w:val="-2"/>
        </w:rPr>
        <w:t> </w:t>
      </w:r>
      <w:r>
        <w:rPr/>
        <w:t>sancionadora,</w:t>
      </w:r>
      <w:r>
        <w:rPr>
          <w:spacing w:val="-2"/>
        </w:rPr>
        <w:t> </w:t>
      </w:r>
      <w:r>
        <w:rPr/>
        <w:t>a fim de que a conduta não venha a incidir novamente, não só pelo gestor que tenha praticado o ato, como também pelos demais responsáveis pela gestão da coisa pública. Por esse motivo, ainda que haja a revogação ou anulação dos atos indicados como irregulares, a conduta praticada continua sendo objeto de apreciação do controle externo exercido pelo Tribunal</w:t>
      </w:r>
      <w:r>
        <w:rPr>
          <w:spacing w:val="-3"/>
        </w:rPr>
        <w:t> </w:t>
      </w:r>
      <w:r>
        <w:rPr/>
        <w:t>de</w:t>
      </w:r>
      <w:r>
        <w:rPr>
          <w:spacing w:val="-2"/>
        </w:rPr>
        <w:t> </w:t>
      </w:r>
      <w:r>
        <w:rPr/>
        <w:t>Contas.</w:t>
      </w:r>
      <w:r>
        <w:rPr>
          <w:spacing w:val="-2"/>
        </w:rPr>
        <w:t> </w:t>
      </w:r>
      <w:r>
        <w:rPr/>
        <w:t>É</w:t>
      </w:r>
      <w:r>
        <w:rPr>
          <w:spacing w:val="-4"/>
        </w:rPr>
        <w:t> </w:t>
      </w:r>
      <w:r>
        <w:rPr/>
        <w:t>necessário</w:t>
      </w:r>
      <w:r>
        <w:rPr>
          <w:spacing w:val="-2"/>
        </w:rPr>
        <w:t> </w:t>
      </w:r>
      <w:r>
        <w:rPr/>
        <w:t>o</w:t>
      </w:r>
      <w:r>
        <w:rPr>
          <w:spacing w:val="-3"/>
        </w:rPr>
        <w:t> </w:t>
      </w:r>
      <w:r>
        <w:rPr/>
        <w:t>exame</w:t>
      </w:r>
      <w:r>
        <w:rPr>
          <w:spacing w:val="-2"/>
        </w:rPr>
        <w:t> </w:t>
      </w:r>
      <w:r>
        <w:rPr/>
        <w:t>de</w:t>
      </w:r>
      <w:r>
        <w:rPr>
          <w:spacing w:val="-2"/>
        </w:rPr>
        <w:t> </w:t>
      </w:r>
      <w:r>
        <w:rPr/>
        <w:t>mérito</w:t>
      </w:r>
      <w:r>
        <w:rPr>
          <w:spacing w:val="-3"/>
        </w:rPr>
        <w:t> </w:t>
      </w:r>
      <w:r>
        <w:rPr/>
        <w:t>para</w:t>
      </w:r>
      <w:r>
        <w:rPr>
          <w:spacing w:val="-2"/>
        </w:rPr>
        <w:t> </w:t>
      </w:r>
      <w:r>
        <w:rPr/>
        <w:t>orientar</w:t>
      </w:r>
      <w:r>
        <w:rPr>
          <w:spacing w:val="-3"/>
        </w:rPr>
        <w:t> </w:t>
      </w:r>
      <w:r>
        <w:rPr/>
        <w:t>pedagogicamente</w:t>
      </w:r>
      <w:r>
        <w:rPr>
          <w:spacing w:val="-3"/>
        </w:rPr>
        <w:t> </w:t>
      </w:r>
      <w:r>
        <w:rPr/>
        <w:t>a</w:t>
      </w:r>
      <w:r>
        <w:rPr>
          <w:spacing w:val="-2"/>
        </w:rPr>
        <w:t> </w:t>
      </w:r>
      <w:r>
        <w:rPr/>
        <w:t>unidade</w:t>
      </w:r>
      <w:r>
        <w:rPr>
          <w:spacing w:val="-2"/>
        </w:rPr>
        <w:t> </w:t>
      </w:r>
      <w:r>
        <w:rPr/>
        <w:t>gestora,</w:t>
      </w:r>
      <w:r>
        <w:rPr>
          <w:spacing w:val="-2"/>
        </w:rPr>
        <w:t> </w:t>
      </w:r>
      <w:r>
        <w:rPr/>
        <w:t>com</w:t>
      </w:r>
      <w:r>
        <w:rPr>
          <w:spacing w:val="-3"/>
        </w:rPr>
        <w:t> </w:t>
      </w:r>
      <w:r>
        <w:rPr/>
        <w:t>a</w:t>
      </w:r>
      <w:r>
        <w:rPr>
          <w:spacing w:val="-3"/>
        </w:rPr>
        <w:t> </w:t>
      </w:r>
      <w:r>
        <w:rPr/>
        <w:t>finalidade de evitar a reiteração de condutas tidas por ilegais, bem como apurar a possível responsabilidade do gestor. O Pleno Virtual do Tribunal de Contas do Estado do Ceará, por maioria de votos, conheceu da presente Representação, no mérito, julgou pela procedência, em virtude da confirmação de falhas identificadas na condução da Concorrência</w:t>
      </w:r>
      <w:r>
        <w:rPr>
          <w:spacing w:val="40"/>
        </w:rPr>
        <w:t> </w:t>
      </w:r>
      <w:r>
        <w:rPr/>
        <w:t>Pública; revogou a medida cautelar e determinou à atual gestão que admita, nos certames licitatórios, a juntada posterior, em fase de diligência, de documentos que venham a atestar condições preexistentes à abertura de sessão pública do certame.</w:t>
      </w:r>
    </w:p>
    <w:p>
      <w:pPr>
        <w:spacing w:before="207"/>
        <w:ind w:left="157" w:right="0" w:firstLine="0"/>
        <w:jc w:val="both"/>
        <w:rPr>
          <w:sz w:val="18"/>
        </w:rPr>
      </w:pPr>
      <w:r>
        <w:rPr>
          <w:sz w:val="18"/>
        </w:rPr>
        <w:t>Processo</w:t>
      </w:r>
      <w:r>
        <w:rPr>
          <w:spacing w:val="-4"/>
          <w:sz w:val="18"/>
        </w:rPr>
        <w:t> </w:t>
      </w:r>
      <w:r>
        <w:rPr>
          <w:sz w:val="18"/>
        </w:rPr>
        <w:t>n.º</w:t>
      </w:r>
      <w:r>
        <w:rPr>
          <w:spacing w:val="-4"/>
          <w:sz w:val="18"/>
        </w:rPr>
        <w:t> </w:t>
      </w:r>
      <w:r>
        <w:rPr>
          <w:sz w:val="18"/>
        </w:rPr>
        <w:t>38102/2023-2.</w:t>
      </w:r>
      <w:r>
        <w:rPr>
          <w:spacing w:val="66"/>
          <w:w w:val="150"/>
          <w:sz w:val="18"/>
        </w:rPr>
        <w:t> </w:t>
      </w:r>
      <w:r>
        <w:rPr>
          <w:sz w:val="18"/>
        </w:rPr>
        <w:t>Relator(a):</w:t>
      </w:r>
      <w:r>
        <w:rPr>
          <w:spacing w:val="-3"/>
          <w:sz w:val="18"/>
        </w:rPr>
        <w:t> </w:t>
      </w:r>
      <w:r>
        <w:rPr>
          <w:sz w:val="18"/>
        </w:rPr>
        <w:t>Cons(a)</w:t>
      </w:r>
      <w:r>
        <w:rPr>
          <w:spacing w:val="-4"/>
          <w:sz w:val="18"/>
        </w:rPr>
        <w:t> </w:t>
      </w:r>
      <w:r>
        <w:rPr>
          <w:sz w:val="18"/>
        </w:rPr>
        <w:t>Soraia</w:t>
      </w:r>
      <w:r>
        <w:rPr>
          <w:spacing w:val="-2"/>
          <w:sz w:val="18"/>
        </w:rPr>
        <w:t> </w:t>
      </w:r>
      <w:r>
        <w:rPr>
          <w:sz w:val="18"/>
        </w:rPr>
        <w:t>Victor.</w:t>
      </w:r>
      <w:r>
        <w:rPr>
          <w:spacing w:val="67"/>
          <w:w w:val="150"/>
          <w:sz w:val="18"/>
        </w:rPr>
        <w:t> </w:t>
      </w:r>
      <w:r>
        <w:rPr>
          <w:sz w:val="18"/>
        </w:rPr>
        <w:t>Sessão</w:t>
      </w:r>
      <w:r>
        <w:rPr>
          <w:spacing w:val="-4"/>
          <w:sz w:val="18"/>
        </w:rPr>
        <w:t> </w:t>
      </w:r>
      <w:r>
        <w:rPr>
          <w:sz w:val="18"/>
        </w:rPr>
        <w:t>Virtual</w:t>
      </w:r>
      <w:r>
        <w:rPr>
          <w:spacing w:val="-4"/>
          <w:sz w:val="18"/>
        </w:rPr>
        <w:t> </w:t>
      </w:r>
      <w:r>
        <w:rPr>
          <w:sz w:val="18"/>
        </w:rPr>
        <w:t>de</w:t>
      </w:r>
      <w:r>
        <w:rPr>
          <w:spacing w:val="-3"/>
          <w:sz w:val="18"/>
        </w:rPr>
        <w:t> </w:t>
      </w:r>
      <w:r>
        <w:rPr>
          <w:sz w:val="18"/>
        </w:rPr>
        <w:t>17/03/2025.</w:t>
      </w:r>
      <w:r>
        <w:rPr>
          <w:spacing w:val="45"/>
          <w:sz w:val="18"/>
        </w:rPr>
        <w:t>  </w:t>
      </w:r>
      <w:r>
        <w:rPr>
          <w:sz w:val="18"/>
        </w:rPr>
        <w:t>Ata</w:t>
      </w:r>
      <w:r>
        <w:rPr>
          <w:spacing w:val="-4"/>
          <w:sz w:val="18"/>
        </w:rPr>
        <w:t> </w:t>
      </w:r>
      <w:r>
        <w:rPr>
          <w:sz w:val="18"/>
        </w:rPr>
        <w:t>n.º</w:t>
      </w:r>
      <w:r>
        <w:rPr>
          <w:spacing w:val="-3"/>
          <w:sz w:val="18"/>
        </w:rPr>
        <w:t> </w:t>
      </w:r>
      <w:r>
        <w:rPr>
          <w:sz w:val="18"/>
        </w:rPr>
        <w:t>277/2025.</w:t>
      </w:r>
      <w:r>
        <w:rPr>
          <w:spacing w:val="45"/>
          <w:sz w:val="18"/>
        </w:rPr>
        <w:t>  </w:t>
      </w:r>
      <w:r>
        <w:rPr>
          <w:sz w:val="18"/>
        </w:rPr>
        <w:t>DO:</w:t>
      </w:r>
      <w:r>
        <w:rPr>
          <w:spacing w:val="-4"/>
          <w:sz w:val="18"/>
        </w:rPr>
        <w:t> </w:t>
      </w:r>
      <w:r>
        <w:rPr>
          <w:spacing w:val="-2"/>
          <w:sz w:val="18"/>
        </w:rPr>
        <w:t>07/04/2025.</w:t>
      </w:r>
    </w:p>
    <w:sectPr>
      <w:pgSz w:w="11910" w:h="16840"/>
      <w:pgMar w:header="0" w:footer="722" w:top="1920" w:bottom="92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1008">
          <wp:simplePos x="0" y="0"/>
          <wp:positionH relativeFrom="page">
            <wp:posOffset>17779</wp:posOffset>
          </wp:positionH>
          <wp:positionV relativeFrom="page">
            <wp:posOffset>10106669</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157" w:right="28"/>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2025-10-06T13:58:10Z</dcterms:created>
  <dcterms:modified xsi:type="dcterms:W3CDTF">2025-10-06T13:58:10Z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2025-07-07T00:00:00Z</vt:filetime>
  </property>
</Properties>
</file>