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635</wp:posOffset>
                </wp:positionH>
                <wp:positionV relativeFrom="page">
                  <wp:posOffset>9</wp:posOffset>
                </wp:positionV>
                <wp:extent cx="7559040" cy="16097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609725"/>
                          <a:chExt cx="7559040" cy="160972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609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001134" y="1443387"/>
                            <a:ext cx="173672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Fortaleza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(CE),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5pt;margin-top:.000771pt;width:595.2pt;height:126.75pt;mso-position-horizontal-relative:page;mso-position-vertical-relative:page;z-index:15730176" id="docshapegroup1" coordorigin="1,0" coordsize="11904,2535">
                <v:shape style="position:absolute;left:1;top:0;width:11904;height:2535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02;top:2273;width:2735;height:242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Fortaleza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(CE),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2024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3"/>
        <w:rPr>
          <w:rFonts w:ascii="Times New Roman"/>
        </w:rPr>
      </w:pPr>
    </w:p>
    <w:p>
      <w:pPr>
        <w:pStyle w:val="BodyText"/>
        <w:ind w:left="40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676390" cy="1742439"/>
                <wp:effectExtent l="0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6390" cy="1742439"/>
                          <a:chExt cx="6676390" cy="174243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390" cy="1742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76390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186"/>
                                <w:ind w:left="172" w:right="138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Este Informativo contém informações de decisões proferidas pelos Colegiados do TCE, que receberam indicação de relevância sob o prisma jurisprudencial no período de abril de 2024.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7pt;height:137.2pt;mso-position-horizontal-relative:char;mso-position-vertical-relative:line" id="docshapegroup4" coordorigin="0,0" coordsize="10514,2744">
                <v:shape style="position:absolute;left:0;top:0;width:10514;height:2744" type="#_x0000_t75" id="docshape5" stroked="false">
                  <v:imagedata r:id="rId7" o:title=""/>
                </v:shape>
                <v:shape style="position:absolute;left:0;top:0;width:10514;height:2744" type="#_x0000_t202" id="docshape6" filled="false" stroked="false">
                  <v:textbox inset="0,0,0,0">
                    <w:txbxContent>
                      <w:p>
                        <w:pPr>
                          <w:spacing w:line="268" w:lineRule="auto" w:before="186"/>
                          <w:ind w:left="172" w:right="138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Este Informativo contém informações de decisões proferidas pelos Colegiados do TCE, que receberam indicação de relevância sob o prisma jurisprudencial no período de abril de 2024.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586740</wp:posOffset>
                </wp:positionH>
                <wp:positionV relativeFrom="paragraph">
                  <wp:posOffset>170179</wp:posOffset>
                </wp:positionV>
                <wp:extent cx="6550659" cy="4140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50659" cy="414020"/>
                          <a:chExt cx="6550659" cy="41402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573" cy="41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550659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2"/>
                                <w:ind w:left="-1" w:right="25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ACORDÃO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1353/2024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200001pt;margin-top:13.4pt;width:515.8pt;height:32.6pt;mso-position-horizontal-relative:page;mso-position-vertical-relative:paragraph;z-index:-15728128;mso-wrap-distance-left:0;mso-wrap-distance-right:0" id="docshapegroup7" coordorigin="924,268" coordsize="10316,652">
                <v:shape style="position:absolute;left:924;top:268;width:10316;height:652" type="#_x0000_t75" id="docshape8" stroked="false">
                  <v:imagedata r:id="rId8" o:title=""/>
                </v:shape>
                <v:shape style="position:absolute;left:924;top:268;width:10316;height:652" type="#_x0000_t202" id="docshape9" filled="false" stroked="false">
                  <v:textbox inset="0,0,0,0">
                    <w:txbxContent>
                      <w:p>
                        <w:pPr>
                          <w:spacing w:before="192"/>
                          <w:ind w:left="-1" w:right="257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ACORDÃO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1353/2024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96"/>
      </w:pPr>
      <w:r>
        <w:rPr/>
        <w:t>PRESTAÇÃO DE CONTAS DE GESTÃO. BENS PATRIMONIAIS. REGISTRO CONTÁBIL. BALANÇO PATRIMONIAL. SONEGAÇÃO DE INFORMAÇÃO. BALANÇO FINANCEIRO. AUSÊNCIA DE REGISTRO CONTÁBIL. CONTAS REGULARES COM RESSALVAS. MULTA. </w:t>
      </w:r>
      <w:r>
        <w:rPr>
          <w:spacing w:val="-2"/>
        </w:rPr>
        <w:t>DETERMINAÇÃO.</w:t>
      </w:r>
    </w:p>
    <w:p>
      <w:pPr>
        <w:pStyle w:val="BodyText"/>
        <w:spacing w:before="57"/>
        <w:ind w:left="299" w:right="313"/>
        <w:jc w:val="both"/>
      </w:pPr>
      <w:r>
        <w:rPr/>
        <w:t>Prestação de Contas de Gestão da Secretaria do Meio Ambiente – Sema, do Estado do Ceará, relativa ao exercício 2019. Dentre outras falhas que apresentaram aspectos negativos foram apontadas as seguintes ocorrência: Na análise do balanço financeiro constatou-se que as contas não estavam</w:t>
      </w:r>
      <w:r>
        <w:rPr>
          <w:spacing w:val="63"/>
        </w:rPr>
        <w:t> </w:t>
      </w:r>
      <w:r>
        <w:rPr/>
        <w:t>devidamente cadastradas na contabilidade, o que afeta a confiabilidade da informação contábil, de acordo com o Anexo I da Instrução Normativa 01/2018; Ausência de informações em notas explicativas sobre fatos relevantes constatados nos Demonstrativos Contábeis; Ausência de informações obrigatórias no Inventário de Bens Patrimoniais. O Pleno do Tribunal de Contas do Estado do Ceará, por unanimidade dos votos, julgou a regular com ressalva a Prestação de Contas de Gestão, por maioria dos votos, aplicou </w:t>
      </w:r>
      <w:r>
        <w:rPr>
          <w:spacing w:val="-2"/>
        </w:rPr>
        <w:t>multa.</w:t>
      </w:r>
    </w:p>
    <w:p>
      <w:pPr>
        <w:spacing w:before="207"/>
        <w:ind w:left="299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n.º</w:t>
      </w:r>
      <w:r>
        <w:rPr>
          <w:spacing w:val="-2"/>
          <w:sz w:val="18"/>
        </w:rPr>
        <w:t> </w:t>
      </w:r>
      <w:r>
        <w:rPr>
          <w:sz w:val="18"/>
        </w:rPr>
        <w:t>16348/2021-9.</w:t>
      </w:r>
      <w:r>
        <w:rPr>
          <w:spacing w:val="70"/>
          <w:w w:val="150"/>
          <w:sz w:val="18"/>
        </w:rPr>
        <w:t>   </w:t>
      </w:r>
      <w:r>
        <w:rPr>
          <w:sz w:val="18"/>
        </w:rPr>
        <w:t>Relator: Auditor</w:t>
      </w:r>
      <w:r>
        <w:rPr>
          <w:spacing w:val="-2"/>
          <w:sz w:val="18"/>
        </w:rPr>
        <w:t> </w:t>
      </w:r>
      <w:r>
        <w:rPr>
          <w:sz w:val="18"/>
        </w:rPr>
        <w:t>Itacir</w:t>
      </w:r>
      <w:r>
        <w:rPr>
          <w:spacing w:val="-2"/>
          <w:sz w:val="18"/>
        </w:rPr>
        <w:t> </w:t>
      </w:r>
      <w:r>
        <w:rPr>
          <w:sz w:val="18"/>
        </w:rPr>
        <w:t>Todero.</w:t>
      </w:r>
      <w:r>
        <w:rPr>
          <w:spacing w:val="55"/>
          <w:w w:val="150"/>
          <w:sz w:val="18"/>
        </w:rPr>
        <w:t>   </w:t>
      </w:r>
      <w:r>
        <w:rPr>
          <w:sz w:val="18"/>
        </w:rPr>
        <w:t>Sessão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09/04/2024.</w:t>
      </w:r>
      <w:r>
        <w:rPr>
          <w:spacing w:val="71"/>
          <w:w w:val="150"/>
          <w:sz w:val="18"/>
        </w:rPr>
        <w:t>   </w:t>
      </w:r>
      <w:r>
        <w:rPr>
          <w:sz w:val="18"/>
        </w:rPr>
        <w:t>Ata</w:t>
      </w:r>
      <w:r>
        <w:rPr>
          <w:spacing w:val="-1"/>
          <w:sz w:val="18"/>
        </w:rPr>
        <w:t> </w:t>
      </w:r>
      <w:r>
        <w:rPr>
          <w:sz w:val="18"/>
        </w:rPr>
        <w:t>n.º</w:t>
      </w:r>
      <w:r>
        <w:rPr>
          <w:spacing w:val="-2"/>
          <w:sz w:val="18"/>
        </w:rPr>
        <w:t> </w:t>
      </w:r>
      <w:r>
        <w:rPr>
          <w:sz w:val="18"/>
        </w:rPr>
        <w:t>05/2024.</w:t>
      </w:r>
      <w:r>
        <w:rPr>
          <w:spacing w:val="63"/>
          <w:sz w:val="18"/>
        </w:rPr>
        <w:t>   </w:t>
      </w:r>
      <w:r>
        <w:rPr>
          <w:sz w:val="18"/>
        </w:rPr>
        <w:t>DO: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16/04/2024.</w:t>
      </w:r>
    </w:p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423544</wp:posOffset>
                </wp:positionH>
                <wp:positionV relativeFrom="paragraph">
                  <wp:posOffset>139234</wp:posOffset>
                </wp:positionV>
                <wp:extent cx="6938645" cy="396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8645" cy="396240"/>
                          <a:chExt cx="6938645" cy="39624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645" cy="396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93864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-1" w:right="35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1900/2024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49998pt;margin-top:10.963379pt;width:546.35pt;height:31.2pt;mso-position-horizontal-relative:page;mso-position-vertical-relative:paragraph;z-index:-15727616;mso-wrap-distance-left:0;mso-wrap-distance-right:0" id="docshapegroup10" coordorigin="667,219" coordsize="10927,624">
                <v:shape style="position:absolute;left:667;top:219;width:10927;height:624" type="#_x0000_t75" id="docshape11" stroked="false">
                  <v:imagedata r:id="rId9" o:title=""/>
                </v:shape>
                <v:shape style="position:absolute;left:667;top:219;width:10927;height:624" type="#_x0000_t202" id="docshape12" filled="false" stroked="false">
                  <v:textbox inset="0,0,0,0">
                    <w:txbxContent>
                      <w:p>
                        <w:pPr>
                          <w:spacing w:before="194"/>
                          <w:ind w:left="-1" w:right="354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1900/2024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56"/>
      </w:pPr>
      <w:r>
        <w:rPr/>
        <w:t>REPRESENTAÇÃO. CONTRATO. OBRAS E SERVIÇOS DE ENGENHARIA. RESCISÃO CONTRATUAL. RESCISÃO UNILATERAL. INEXECUÇÃO DO CONTRATO. INEXECUÇÃO DA GARANTIA CONTRATUAL. DANO AO ERÁRIO. CONVERSÃO EM TOMADA DE CONTAS </w:t>
      </w:r>
      <w:r>
        <w:rPr>
          <w:spacing w:val="-2"/>
        </w:rPr>
        <w:t>ESPECIAL.</w:t>
      </w:r>
    </w:p>
    <w:p>
      <w:pPr>
        <w:pStyle w:val="BodyText"/>
        <w:spacing w:before="57"/>
        <w:ind w:left="299" w:right="313"/>
        <w:jc w:val="both"/>
      </w:pPr>
      <w:r>
        <w:rPr/>
        <w:t>Representação do TCE acerca de possíveis irregularidades na rescisão do contrato, para construção da Escola de Ensino Médio Regular do Horto, no município de Juazeiro do Norte/CE, O contrato foi rescindido unilateralmente pela Administração em razão do descumprimento do prazo de execução, com arrimo no art. 79, inciso I, da Lei nº 8.666/93. Com</w:t>
      </w:r>
      <w:r>
        <w:rPr>
          <w:spacing w:val="-3"/>
        </w:rPr>
        <w:t> </w:t>
      </w:r>
      <w:r>
        <w:rPr/>
        <w:t>isso,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contratada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regularmente</w:t>
      </w:r>
      <w:r>
        <w:rPr>
          <w:spacing w:val="-2"/>
        </w:rPr>
        <w:t> </w:t>
      </w:r>
      <w:r>
        <w:rPr/>
        <w:t>sancionada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multa,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forma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87,</w:t>
      </w:r>
      <w:r>
        <w:rPr>
          <w:spacing w:val="-4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8.666/93.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sua vez, a garantia de execução do contrato, previsto na cláusula 15ª do instrumento, no percentual de 5%, não foi executado/acionado pela unidade jurisdicionada na ocasião da rescisão. A contratante tem a incumbência de promover</w:t>
      </w:r>
      <w:r>
        <w:rPr>
          <w:spacing w:val="40"/>
        </w:rPr>
        <w:t> </w:t>
      </w:r>
      <w:r>
        <w:rPr/>
        <w:t>a execução da garantia contratual por ocasião da rescisão unilateral motivada pela contratada, uma vez que a Administração Pública é prejudicada com os custos de uma nova licitação, e também, a comunidade ao deixar de usufruir do objeto pactuado. Em caso de rescisão unilateral por culpa da contratada, cabe ao gestor executar a garantia contratual, na forma prevista no contrato, sob pena de responder pelo dano causado ao erário. O</w:t>
      </w:r>
      <w:r>
        <w:rPr>
          <w:spacing w:val="40"/>
        </w:rPr>
        <w:t> </w:t>
      </w:r>
      <w:r>
        <w:rPr/>
        <w:t>Pleno do Tribunal de Contas do Estado do Ceará, por unanimidade dos votos, conheceu da presente Representação, uma vez que preenchidos os requisitos. Determinou a conversão do feito em Tomada de Contas Especial, nos termos do art. 51 da Lei Estadual nº 12.509/95.</w:t>
      </w:r>
    </w:p>
    <w:p>
      <w:pPr>
        <w:spacing w:before="207"/>
        <w:ind w:left="299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6"/>
          <w:sz w:val="18"/>
        </w:rPr>
        <w:t> </w:t>
      </w:r>
      <w:r>
        <w:rPr>
          <w:sz w:val="18"/>
        </w:rPr>
        <w:t>n.º</w:t>
      </w:r>
      <w:r>
        <w:rPr>
          <w:spacing w:val="-2"/>
          <w:sz w:val="18"/>
        </w:rPr>
        <w:t> </w:t>
      </w:r>
      <w:r>
        <w:rPr>
          <w:sz w:val="18"/>
        </w:rPr>
        <w:t>16933/2020-2.</w:t>
      </w:r>
      <w:r>
        <w:rPr>
          <w:spacing w:val="45"/>
          <w:sz w:val="18"/>
        </w:rPr>
        <w:t>  </w:t>
      </w:r>
      <w:r>
        <w:rPr>
          <w:sz w:val="18"/>
        </w:rPr>
        <w:t>Relator(a):</w:t>
      </w:r>
      <w:r>
        <w:rPr>
          <w:spacing w:val="-3"/>
          <w:sz w:val="18"/>
        </w:rPr>
        <w:t> </w:t>
      </w:r>
      <w:r>
        <w:rPr>
          <w:sz w:val="18"/>
        </w:rPr>
        <w:t>Cons(a).</w:t>
      </w:r>
      <w:r>
        <w:rPr>
          <w:spacing w:val="2"/>
          <w:sz w:val="18"/>
        </w:rPr>
        <w:t> </w:t>
      </w:r>
      <w:r>
        <w:rPr>
          <w:sz w:val="18"/>
        </w:rPr>
        <w:t>Patrícia</w:t>
      </w:r>
      <w:r>
        <w:rPr>
          <w:spacing w:val="-3"/>
          <w:sz w:val="18"/>
        </w:rPr>
        <w:t> </w:t>
      </w:r>
      <w:r>
        <w:rPr>
          <w:sz w:val="18"/>
        </w:rPr>
        <w:t>Saboya.</w:t>
      </w:r>
      <w:r>
        <w:rPr>
          <w:spacing w:val="69"/>
          <w:sz w:val="18"/>
        </w:rPr>
        <w:t>  </w:t>
      </w:r>
      <w:r>
        <w:rPr>
          <w:sz w:val="18"/>
        </w:rPr>
        <w:t>Sessão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09/04/2024.</w:t>
      </w:r>
      <w:r>
        <w:rPr>
          <w:spacing w:val="68"/>
          <w:w w:val="150"/>
          <w:sz w:val="18"/>
        </w:rPr>
        <w:t> 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n.º</w:t>
      </w:r>
      <w:r>
        <w:rPr>
          <w:spacing w:val="-3"/>
          <w:sz w:val="18"/>
        </w:rPr>
        <w:t> </w:t>
      </w:r>
      <w:r>
        <w:rPr>
          <w:sz w:val="18"/>
        </w:rPr>
        <w:t>05/2024.</w:t>
      </w:r>
      <w:r>
        <w:rPr>
          <w:spacing w:val="69"/>
          <w:sz w:val="18"/>
        </w:rPr>
        <w:t>  </w:t>
      </w:r>
      <w:r>
        <w:rPr>
          <w:sz w:val="18"/>
        </w:rPr>
        <w:t>DO: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16/05/2024.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10" w:h="16840"/>
          <w:pgMar w:header="0" w:footer="862" w:top="0" w:bottom="1060" w:left="283" w:right="283"/>
          <w:pgNumType w:start="1"/>
        </w:sectPr>
      </w:pPr>
    </w:p>
    <w:p>
      <w:pPr>
        <w:pStyle w:val="BodyText"/>
        <w:ind w:left="28"/>
      </w:pPr>
      <w:r>
        <w:rPr/>
        <mc:AlternateContent>
          <mc:Choice Requires="wps">
            <w:drawing>
              <wp:inline distT="0" distB="0" distL="0" distR="0">
                <wp:extent cx="7026275" cy="367030"/>
                <wp:effectExtent l="0" t="0" r="0" b="444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7026275" cy="367030"/>
                          <a:chExt cx="7026275" cy="36703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6275" cy="367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02627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8"/>
                                <w:ind w:left="217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2488/2024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3.25pt;height:28.9pt;mso-position-horizontal-relative:char;mso-position-vertical-relative:line" id="docshapegroup13" coordorigin="0,0" coordsize="11065,578">
                <v:shape style="position:absolute;left:0;top:0;width:11065;height:578" type="#_x0000_t75" id="docshape14" stroked="false">
                  <v:imagedata r:id="rId9" o:title=""/>
                </v:shape>
                <v:shape style="position:absolute;left:0;top:0;width:11065;height:578" type="#_x0000_t202" id="docshape15" filled="false" stroked="false">
                  <v:textbox inset="0,0,0,0">
                    <w:txbxContent>
                      <w:p>
                        <w:pPr>
                          <w:spacing w:before="128"/>
                          <w:ind w:left="217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2488/2024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Heading1"/>
        <w:ind w:right="309"/>
      </w:pPr>
      <w:r>
        <w:rPr/>
        <w:t>CONSULTA. CONTRATAÇÃO DE SERVIÇOS JURÍDICOS. SERVIÇOS CONTINUADOS. CONSULTORIA. EXISTÊNCIA DE PROCURADORIA JURÍDICA. PRORROGAÇÃO DE CONTRATO. POSSIBILIDADE.</w:t>
      </w:r>
    </w:p>
    <w:p>
      <w:pPr>
        <w:pStyle w:val="BodyText"/>
        <w:spacing w:before="57"/>
        <w:ind w:left="299" w:right="311"/>
        <w:jc w:val="both"/>
      </w:pPr>
      <w:r>
        <w:rPr/>
        <w:t>Consulta acerca a possibilidade de contratação e prorrogação de serviços jurídicos por município que detenha procuradoria própria. O consulente questionou, se:</w:t>
      </w:r>
      <w:r>
        <w:rPr>
          <w:spacing w:val="68"/>
        </w:rPr>
        <w:t> </w:t>
      </w:r>
      <w:r>
        <w:rPr/>
        <w:t>- A existência de Procuradoria atrai para o Município e seus órgãos</w:t>
      </w:r>
      <w:r>
        <w:rPr>
          <w:spacing w:val="40"/>
        </w:rPr>
        <w:t> </w:t>
      </w:r>
      <w:r>
        <w:rPr/>
        <w:t>a impossibilidade de contratar serviços regulares de consultoria e advocacia complementares, especializada ou de natureza regular; - Existe óbice para que contratos de serviços jurídicos, reconhecidos como contínuos em ato</w:t>
      </w:r>
      <w:r>
        <w:rPr>
          <w:spacing w:val="40"/>
        </w:rPr>
        <w:t> </w:t>
      </w:r>
      <w:r>
        <w:rPr/>
        <w:t>específico da Administração, sejam, prorrogados com esteio no Artigo 57 da Lei 8666/93. O Pleno Virtual do Tribunal de Contas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 do</w:t>
      </w:r>
      <w:r>
        <w:rPr>
          <w:spacing w:val="-2"/>
        </w:rPr>
        <w:t> </w:t>
      </w:r>
      <w:r>
        <w:rPr/>
        <w:t>Ceará,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maioria</w:t>
      </w:r>
      <w:r>
        <w:rPr>
          <w:spacing w:val="-2"/>
        </w:rPr>
        <w:t> </w:t>
      </w:r>
      <w:r>
        <w:rPr/>
        <w:t>dos votos, respondeu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possível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possibilidade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serviços jurídicos, em caráter excepcional e devidamente justificado, por município que possua procuradoria própria, bem como pela sua prorrogação, desde que mantidas todas as condições e requisitos legais que autorizaram a contratação.</w:t>
      </w:r>
    </w:p>
    <w:p>
      <w:pPr>
        <w:spacing w:before="207"/>
        <w:ind w:left="299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4"/>
          <w:sz w:val="18"/>
        </w:rPr>
        <w:t> </w:t>
      </w:r>
      <w:r>
        <w:rPr>
          <w:sz w:val="18"/>
        </w:rPr>
        <w:t>n.º</w:t>
      </w:r>
      <w:r>
        <w:rPr>
          <w:spacing w:val="-3"/>
          <w:sz w:val="18"/>
        </w:rPr>
        <w:t> </w:t>
      </w:r>
      <w:r>
        <w:rPr>
          <w:sz w:val="18"/>
        </w:rPr>
        <w:t>13750/2019-1.</w:t>
      </w:r>
      <w:r>
        <w:rPr>
          <w:spacing w:val="45"/>
          <w:sz w:val="18"/>
        </w:rPr>
        <w:t>  </w:t>
      </w:r>
      <w:r>
        <w:rPr>
          <w:sz w:val="18"/>
        </w:rPr>
        <w:t>Relator(a):</w:t>
      </w:r>
      <w:r>
        <w:rPr>
          <w:spacing w:val="-3"/>
          <w:sz w:val="18"/>
        </w:rPr>
        <w:t> </w:t>
      </w:r>
      <w:r>
        <w:rPr>
          <w:sz w:val="18"/>
        </w:rPr>
        <w:t>Cons(a).</w:t>
      </w:r>
      <w:r>
        <w:rPr>
          <w:spacing w:val="-3"/>
          <w:sz w:val="18"/>
        </w:rPr>
        <w:t> </w:t>
      </w:r>
      <w:r>
        <w:rPr>
          <w:sz w:val="18"/>
        </w:rPr>
        <w:t>Ernesto</w:t>
      </w:r>
      <w:r>
        <w:rPr>
          <w:spacing w:val="-2"/>
          <w:sz w:val="18"/>
        </w:rPr>
        <w:t> </w:t>
      </w:r>
      <w:r>
        <w:rPr>
          <w:sz w:val="18"/>
        </w:rPr>
        <w:t>Saboia.</w:t>
      </w:r>
      <w:r>
        <w:rPr>
          <w:spacing w:val="69"/>
          <w:sz w:val="18"/>
        </w:rPr>
        <w:t>  </w:t>
      </w:r>
      <w:r>
        <w:rPr>
          <w:sz w:val="18"/>
        </w:rPr>
        <w:t>Sessão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29/04/2024.</w:t>
      </w:r>
      <w:r>
        <w:rPr>
          <w:spacing w:val="69"/>
          <w:w w:val="150"/>
          <w:sz w:val="18"/>
        </w:rPr>
        <w:t> 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n.º</w:t>
      </w:r>
      <w:r>
        <w:rPr>
          <w:spacing w:val="-3"/>
          <w:sz w:val="18"/>
        </w:rPr>
        <w:t> </w:t>
      </w:r>
      <w:r>
        <w:rPr>
          <w:sz w:val="18"/>
        </w:rPr>
        <w:t>197/2024.</w:t>
      </w:r>
      <w:r>
        <w:rPr>
          <w:spacing w:val="70"/>
          <w:sz w:val="18"/>
        </w:rPr>
        <w:t>  </w:t>
      </w:r>
      <w:r>
        <w:rPr>
          <w:sz w:val="18"/>
        </w:rPr>
        <w:t>DO: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24/05/2024.</w:t>
      </w: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366395</wp:posOffset>
                </wp:positionH>
                <wp:positionV relativeFrom="paragraph">
                  <wp:posOffset>169065</wp:posOffset>
                </wp:positionV>
                <wp:extent cx="6824345" cy="34925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24345" cy="349250"/>
                          <a:chExt cx="6824345" cy="34925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24345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7"/>
                                <w:ind w:left="3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1547/2024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5pt;margin-top:13.312207pt;width:537.35pt;height:27.5pt;mso-position-horizontal-relative:page;mso-position-vertical-relative:paragraph;z-index:-15726080;mso-wrap-distance-left:0;mso-wrap-distance-right:0" id="docshapegroup16" coordorigin="577,266" coordsize="10747,550">
                <v:shape style="position:absolute;left:577;top:266;width:10747;height:550" type="#_x0000_t75" id="docshape17" stroked="false">
                  <v:imagedata r:id="rId9" o:title=""/>
                </v:shape>
                <v:shape style="position:absolute;left:577;top:266;width:10747;height:550" type="#_x0000_t202" id="docshape18" filled="false" stroked="false">
                  <v:textbox inset="0,0,0,0">
                    <w:txbxContent>
                      <w:p>
                        <w:pPr>
                          <w:spacing w:before="147"/>
                          <w:ind w:left="3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1547/2024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65"/>
        <w:ind w:right="308"/>
      </w:pPr>
      <w:r>
        <w:rPr/>
        <w:t>PRESTAÇÃO DE CONTAS DE GESTÃO. CONTRATO DE GESTÃO. CONTRATAÇÃO OBRAS E SERVIÇOS DE ENGENHARIA. AUSÊNCIA PESQUISA PRÉVIA DE PREÇO. PRINCÍPIO DA ECONOMICIDADE. CERTIDÃO NEGATIVA DE DÉBITO MUNICIPAL. CERTIFICADO DE REGULARIDADE FISCAL. PAGAMENTO INDEVIDO. BENS PATRIMONIAIS. AUSÊNCIA DE REGISTRO CONTÁBIL.</w:t>
      </w:r>
    </w:p>
    <w:p>
      <w:pPr>
        <w:pStyle w:val="BodyText"/>
        <w:spacing w:before="57"/>
        <w:ind w:left="299" w:right="313"/>
        <w:jc w:val="both"/>
      </w:pPr>
      <w:r>
        <w:rPr/>
        <w:t>Prestação de Contas de Gestão da Secretaria da Agricultura, Pesca e Aquicultura do Estado do Ceará, exercício de 2017.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exame das</w:t>
      </w:r>
      <w:r>
        <w:rPr>
          <w:spacing w:val="-2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Contas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Gestão</w:t>
      </w:r>
      <w:r>
        <w:rPr>
          <w:spacing w:val="-2"/>
        </w:rPr>
        <w:t> </w:t>
      </w:r>
      <w:r>
        <w:rPr/>
        <w:t>foram</w:t>
      </w:r>
      <w:r>
        <w:rPr>
          <w:spacing w:val="-1"/>
        </w:rPr>
        <w:t> </w:t>
      </w:r>
      <w:r>
        <w:rPr/>
        <w:t>identificadas</w:t>
      </w:r>
      <w:r>
        <w:rPr>
          <w:spacing w:val="-2"/>
        </w:rPr>
        <w:t> </w:t>
      </w:r>
      <w:r>
        <w:rPr/>
        <w:t>algumas</w:t>
      </w:r>
      <w:r>
        <w:rPr>
          <w:spacing w:val="-2"/>
        </w:rPr>
        <w:t> </w:t>
      </w:r>
      <w:r>
        <w:rPr/>
        <w:t>falhas,</w:t>
      </w:r>
      <w:r>
        <w:rPr>
          <w:spacing w:val="-2"/>
        </w:rPr>
        <w:t> </w:t>
      </w:r>
      <w:r>
        <w:rPr/>
        <w:t>as quais, em</w:t>
      </w:r>
      <w:r>
        <w:rPr>
          <w:spacing w:val="-3"/>
        </w:rPr>
        <w:t> </w:t>
      </w:r>
      <w:r>
        <w:rPr/>
        <w:t>tese,</w:t>
      </w:r>
      <w:r>
        <w:rPr>
          <w:spacing w:val="-2"/>
        </w:rPr>
        <w:t> </w:t>
      </w:r>
      <w:r>
        <w:rPr/>
        <w:t>quais</w:t>
      </w:r>
      <w:r>
        <w:rPr>
          <w:spacing w:val="-2"/>
        </w:rPr>
        <w:t> </w:t>
      </w:r>
      <w:r>
        <w:rPr/>
        <w:t>sejam:</w:t>
      </w:r>
      <w:r>
        <w:rPr>
          <w:spacing w:val="40"/>
        </w:rPr>
        <w:t> </w:t>
      </w:r>
      <w:r>
        <w:rPr/>
        <w:t>– Divergência entre o saldo de Bens Móveis do Balanço Patrimonial e o constante do Inventário. – Ausência do Inventário dos Bens Imóveis. – Ausência de cadastramento de bens imóveis no SGBI, ocasionando uma divergência do registrado na contabilidade. – Certidões vencidas (Certidão Negativa de Débito Municipal e Certidão de Regularidade do FGTS) na 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Contrato.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toda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contratação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Certidões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demonstram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regularidade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empresa</w:t>
      </w:r>
      <w:r>
        <w:rPr>
          <w:spacing w:val="-3"/>
        </w:rPr>
        <w:t> </w:t>
      </w:r>
      <w:r>
        <w:rPr/>
        <w:t>contratada devem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válidas,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aconteceu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caso;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Ausência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cotação</w:t>
      </w:r>
      <w:r>
        <w:rPr>
          <w:spacing w:val="-2"/>
        </w:rPr>
        <w:t> </w:t>
      </w:r>
      <w:r>
        <w:rPr/>
        <w:t>prévia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contratação da empresa ferindo o Princípio da Economicidade. Restou evidenciado nos autos que não foi realizada qualquer pesquisa prévia de preços antes da contratação da empresa, o que fere o Princípio da Economicidade, um dos pilares da</w:t>
      </w:r>
      <w:r>
        <w:rPr>
          <w:spacing w:val="-1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Pública;</w:t>
      </w:r>
      <w:r>
        <w:rPr>
          <w:spacing w:val="40"/>
        </w:rPr>
        <w:t> </w:t>
      </w:r>
      <w:r>
        <w:rPr/>
        <w:t>–</w:t>
      </w:r>
      <w:r>
        <w:rPr>
          <w:spacing w:val="-3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contempladas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Gestão.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despesas são indevidas pois fogem do objeto do Contrato de Gestão e não foram apresentados documentos e esclarecimentos que pudessem afastar a falha; Transferências entre contratos de gestão sem autorização do Conselho Fiscal, uma vez que ocorreu a reposição dos recursos de um Contrato de gestão para outro, no entanto, não foi comprovada a autorização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Fiscal justificando</w:t>
      </w:r>
      <w:r>
        <w:rPr>
          <w:spacing w:val="-1"/>
        </w:rPr>
        <w:t> </w:t>
      </w:r>
      <w:r>
        <w:rPr/>
        <w:t>referida transferência excepcionalmente; –</w:t>
      </w:r>
      <w:r>
        <w:rPr>
          <w:spacing w:val="-1"/>
        </w:rPr>
        <w:t> </w:t>
      </w:r>
      <w:r>
        <w:rPr/>
        <w:t>Certidões de</w:t>
      </w:r>
      <w:r>
        <w:rPr>
          <w:spacing w:val="-1"/>
        </w:rPr>
        <w:t> </w:t>
      </w:r>
      <w:r>
        <w:rPr/>
        <w:t>Regularidade</w:t>
      </w:r>
      <w:r>
        <w:rPr>
          <w:spacing w:val="-1"/>
        </w:rPr>
        <w:t> </w:t>
      </w:r>
      <w:r>
        <w:rPr/>
        <w:t>Fiscal emitidas após o pagamento. É obrigação do contratado de manter, durante toda a execução do contrato, em compatibilidade com as obrigações por ele assumidas, todas as condições de habilitação e qualificação exigidas na licitação; - Certidão de Regularidade do FGTS vencida. O ponto questionado foi que na data do pagamento a Certidão de</w:t>
      </w:r>
      <w:r>
        <w:rPr>
          <w:spacing w:val="-2"/>
        </w:rPr>
        <w:t> </w:t>
      </w:r>
      <w:r>
        <w:rPr/>
        <w:t>Regularidade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FGTS</w:t>
      </w:r>
      <w:r>
        <w:rPr>
          <w:spacing w:val="-2"/>
        </w:rPr>
        <w:t> </w:t>
      </w:r>
      <w:r>
        <w:rPr/>
        <w:t>encontrava-se</w:t>
      </w:r>
      <w:r>
        <w:rPr>
          <w:spacing w:val="-2"/>
        </w:rPr>
        <w:t> </w:t>
      </w:r>
      <w:r>
        <w:rPr/>
        <w:t>vencida,</w:t>
      </w:r>
      <w:r>
        <w:rPr>
          <w:spacing w:val="-2"/>
        </w:rPr>
        <w:t> </w:t>
      </w:r>
      <w:r>
        <w:rPr/>
        <w:t>sendo</w:t>
      </w:r>
      <w:r>
        <w:rPr>
          <w:spacing w:val="-2"/>
        </w:rPr>
        <w:t> </w:t>
      </w:r>
      <w:r>
        <w:rPr/>
        <w:t>dever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exigir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certidões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regularidade fiscal estejam plenamente válidas durante toda a execução do contrato, consoante art. 55, inciso XIII da Lei nº 8.666/1993.</w:t>
      </w:r>
      <w:r>
        <w:rPr>
          <w:spacing w:val="-1"/>
        </w:rPr>
        <w:t> </w:t>
      </w:r>
      <w:r>
        <w:rPr/>
        <w:t>A Segunda Câmara Virtual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Contas do Estado 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por unanimidade de votos, julgou as contas nos seguintes termos: Regular, Regular com Ressalvas, Irregular, com multa e determinação.</w:t>
      </w:r>
    </w:p>
    <w:p>
      <w:pPr>
        <w:spacing w:before="229"/>
        <w:ind w:left="299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n.º</w:t>
      </w:r>
      <w:r>
        <w:rPr>
          <w:spacing w:val="-3"/>
          <w:sz w:val="18"/>
        </w:rPr>
        <w:t> </w:t>
      </w:r>
      <w:r>
        <w:rPr>
          <w:sz w:val="18"/>
        </w:rPr>
        <w:t>11215/2019-2.</w:t>
      </w:r>
      <w:r>
        <w:rPr>
          <w:spacing w:val="69"/>
          <w:w w:val="150"/>
          <w:sz w:val="18"/>
        </w:rPr>
        <w:t>  </w:t>
      </w:r>
      <w:r>
        <w:rPr>
          <w:sz w:val="18"/>
        </w:rPr>
        <w:t>Relator:</w:t>
      </w:r>
      <w:r>
        <w:rPr>
          <w:spacing w:val="-3"/>
          <w:sz w:val="18"/>
        </w:rPr>
        <w:t> </w:t>
      </w:r>
      <w:r>
        <w:rPr>
          <w:sz w:val="18"/>
        </w:rPr>
        <w:t>Cons(a).</w:t>
      </w:r>
      <w:r>
        <w:rPr>
          <w:spacing w:val="-2"/>
          <w:sz w:val="18"/>
        </w:rPr>
        <w:t> </w:t>
      </w:r>
      <w:r>
        <w:rPr>
          <w:sz w:val="18"/>
        </w:rPr>
        <w:t>Soraia</w:t>
      </w:r>
      <w:r>
        <w:rPr>
          <w:spacing w:val="-1"/>
          <w:sz w:val="18"/>
        </w:rPr>
        <w:t> </w:t>
      </w:r>
      <w:r>
        <w:rPr>
          <w:sz w:val="18"/>
        </w:rPr>
        <w:t>Victor.</w:t>
      </w:r>
      <w:r>
        <w:rPr>
          <w:spacing w:val="62"/>
          <w:sz w:val="18"/>
        </w:rPr>
        <w:t>   </w:t>
      </w:r>
      <w:r>
        <w:rPr>
          <w:sz w:val="18"/>
        </w:rPr>
        <w:t>Sessão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01/04/2024.</w:t>
      </w:r>
      <w:r>
        <w:rPr>
          <w:spacing w:val="78"/>
          <w:sz w:val="18"/>
        </w:rPr>
        <w:t>   </w:t>
      </w:r>
      <w:r>
        <w:rPr>
          <w:sz w:val="18"/>
        </w:rPr>
        <w:t>Ata n.º</w:t>
      </w:r>
      <w:r>
        <w:rPr>
          <w:spacing w:val="-3"/>
          <w:sz w:val="18"/>
        </w:rPr>
        <w:t> </w:t>
      </w:r>
      <w:r>
        <w:rPr>
          <w:sz w:val="18"/>
        </w:rPr>
        <w:t>193/2024.</w:t>
      </w:r>
      <w:r>
        <w:rPr>
          <w:spacing w:val="62"/>
          <w:sz w:val="18"/>
        </w:rPr>
        <w:t>   </w:t>
      </w:r>
      <w:r>
        <w:rPr>
          <w:sz w:val="18"/>
        </w:rPr>
        <w:t>DO:</w:t>
      </w:r>
      <w:r>
        <w:rPr>
          <w:spacing w:val="-2"/>
          <w:sz w:val="18"/>
        </w:rPr>
        <w:t> 19/04/2024.</w:t>
      </w:r>
    </w:p>
    <w:sectPr>
      <w:pgSz w:w="11910" w:h="16840"/>
      <w:pgMar w:header="0" w:footer="862" w:top="1500" w:bottom="10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17779</wp:posOffset>
          </wp:positionH>
          <wp:positionV relativeFrom="page">
            <wp:posOffset>10017769</wp:posOffset>
          </wp:positionV>
          <wp:extent cx="7541259" cy="673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259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299" w:right="310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2025-10-06T13:53:56Z</dcterms:created>
  <dcterms:modified xsi:type="dcterms:W3CDTF">2025-10-06T13:53:56Z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2024-07-05T00:00:00Z</vt:filetime>
  </property>
</Properties>
</file>