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1270</wp:posOffset>
                </wp:positionH>
                <wp:positionV relativeFrom="page">
                  <wp:posOffset>779</wp:posOffset>
                </wp:positionV>
                <wp:extent cx="7559040" cy="16103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9040" cy="1610360"/>
                          <a:chExt cx="7559040" cy="16103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729" cy="1610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000500" y="1443387"/>
                            <a:ext cx="174117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Fortaleza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CE),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pt;margin-top:.061389pt;width:595.2pt;height:126.8pt;mso-position-horizontal-relative:page;mso-position-vertical-relative:page;z-index:15730176" id="docshapegroup1" coordorigin="2,1" coordsize="11904,2536">
                <v:shape style="position:absolute;left:2;top:1;width:11904;height:2536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302;top:2274;width:2742;height:242" type="#_x0000_t202" id="docshape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Fortaleza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CE),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2023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6"/>
        <w:rPr>
          <w:rFonts w:ascii="Times New Roman"/>
        </w:rPr>
      </w:pPr>
    </w:p>
    <w:p>
      <w:pPr>
        <w:pStyle w:val="BodyText"/>
        <w:ind w:left="12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675120" cy="1742439"/>
                <wp:effectExtent l="0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75120" cy="1742439"/>
                          <a:chExt cx="6675120" cy="1742439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19" cy="1742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75120" cy="174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85"/>
                                <w:ind w:left="172" w:right="153" w:firstLine="0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Este Informativo contém informações de decisões proferidas pelos Colegiados do TCE, que receberam indicação de relevância sob o prisma jurisprudencial no período de abril de 2023.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6pt;height:137.2pt;mso-position-horizontal-relative:char;mso-position-vertical-relative:line" id="docshapegroup4" coordorigin="0,0" coordsize="10512,2744">
                <v:shape style="position:absolute;left:0;top:0;width:10512;height:2744" type="#_x0000_t75" id="docshape5" stroked="false">
                  <v:imagedata r:id="rId7" o:title=""/>
                </v:shape>
                <v:shape style="position:absolute;left:0;top:0;width:10512;height:2744" type="#_x0000_t202" id="docshape6" filled="false" stroked="false">
                  <v:textbox inset="0,0,0,0">
                    <w:txbxContent>
                      <w:p>
                        <w:pPr>
                          <w:spacing w:line="268" w:lineRule="auto" w:before="185"/>
                          <w:ind w:left="172" w:right="153" w:firstLine="0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Este Informativo contém informações de decisões proferidas pelos Colegiados do TCE, que receberam indicação de relevância sob o prisma jurisprudencial no período de abril de 2023.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499109</wp:posOffset>
                </wp:positionH>
                <wp:positionV relativeFrom="paragraph">
                  <wp:posOffset>161302</wp:posOffset>
                </wp:positionV>
                <wp:extent cx="6551295" cy="37211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551295" cy="372110"/>
                          <a:chExt cx="6551295" cy="37211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880" y="0"/>
                            <a:ext cx="26669" cy="1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689"/>
                            <a:ext cx="6551207" cy="312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55129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15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1126/2023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99999pt;margin-top:12.700976pt;width:515.85pt;height:29.3pt;mso-position-horizontal-relative:page;mso-position-vertical-relative:paragraph;z-index:-15728128;mso-wrap-distance-left:0;mso-wrap-distance-right:0" id="docshapegroup7" coordorigin="786,254" coordsize="10317,586">
                <v:shape style="position:absolute;left:2474;top:254;width:42;height:24" type="#_x0000_t75" id="docshape8" stroked="false">
                  <v:imagedata r:id="rId8" o:title=""/>
                </v:shape>
                <v:shape style="position:absolute;left:786;top:348;width:10317;height:492" type="#_x0000_t75" id="docshape9" stroked="false">
                  <v:imagedata r:id="rId9" o:title=""/>
                </v:shape>
                <v:shape style="position:absolute;left:786;top:254;width:10317;height:586" type="#_x0000_t202" id="docshape10" filled="false" stroked="false">
                  <v:textbox inset="0,0,0,0">
                    <w:txbxContent>
                      <w:p>
                        <w:pPr>
                          <w:spacing w:before="195"/>
                          <w:ind w:left="15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1126/2023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8"/>
        <w:rPr>
          <w:rFonts w:ascii="Times New Roman"/>
          <w:sz w:val="22"/>
        </w:rPr>
      </w:pPr>
    </w:p>
    <w:p>
      <w:pPr>
        <w:pStyle w:val="Heading1"/>
        <w:tabs>
          <w:tab w:pos="1599" w:val="left" w:leader="none"/>
          <w:tab w:pos="2106" w:val="left" w:leader="none"/>
          <w:tab w:pos="3235" w:val="left" w:leader="none"/>
          <w:tab w:pos="3743" w:val="left" w:leader="none"/>
          <w:tab w:pos="4934" w:val="left" w:leader="none"/>
          <w:tab w:pos="6283" w:val="left" w:leader="none"/>
          <w:tab w:pos="6791" w:val="left" w:leader="none"/>
          <w:tab w:pos="8837" w:val="left" w:leader="none"/>
        </w:tabs>
        <w:spacing w:line="276" w:lineRule="auto"/>
        <w:ind w:right="31"/>
        <w:jc w:val="left"/>
      </w:pPr>
      <w:r>
        <w:rPr>
          <w:spacing w:val="-2"/>
        </w:rPr>
        <w:t>PRESTAÇÃO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CONTAS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GESTÃO.</w:t>
      </w:r>
      <w:r>
        <w:rPr/>
        <w:tab/>
      </w:r>
      <w:r>
        <w:rPr>
          <w:spacing w:val="-2"/>
        </w:rPr>
        <w:t>AUSÊNCIA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COMPROVAÇÃO.</w:t>
      </w:r>
      <w:r>
        <w:rPr/>
        <w:tab/>
      </w:r>
      <w:r>
        <w:rPr>
          <w:spacing w:val="-2"/>
        </w:rPr>
        <w:t>DEMONSTRAÇÃO </w:t>
      </w:r>
      <w:r>
        <w:rPr/>
        <w:t>CONTÁBIL. SALDO FINANCEIRO.</w:t>
      </w:r>
      <w:r>
        <w:rPr>
          <w:spacing w:val="40"/>
        </w:rPr>
        <w:t> </w:t>
      </w:r>
      <w:r>
        <w:rPr/>
        <w:t>DANO AO ERÁRIO. IRREGULAR. DÉBITO. MULTA.</w:t>
      </w:r>
    </w:p>
    <w:p>
      <w:pPr>
        <w:pStyle w:val="BodyText"/>
        <w:spacing w:before="36"/>
        <w:rPr>
          <w:rFonts w:ascii="Arial"/>
          <w:b/>
          <w:sz w:val="22"/>
        </w:rPr>
      </w:pPr>
    </w:p>
    <w:p>
      <w:pPr>
        <w:pStyle w:val="BodyText"/>
        <w:spacing w:line="276" w:lineRule="auto"/>
        <w:ind w:left="16" w:right="23"/>
      </w:pPr>
      <w:r>
        <w:rPr/>
        <w:t>Prestação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Contas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Gestão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Fundo</w:t>
      </w:r>
      <w:r>
        <w:rPr>
          <w:spacing w:val="25"/>
        </w:rPr>
        <w:t> </w:t>
      </w:r>
      <w:r>
        <w:rPr/>
        <w:t>Geral</w:t>
      </w:r>
      <w:r>
        <w:rPr>
          <w:spacing w:val="26"/>
        </w:rPr>
        <w:t> </w:t>
      </w:r>
      <w:r>
        <w:rPr/>
        <w:t>do</w:t>
      </w:r>
      <w:r>
        <w:rPr>
          <w:spacing w:val="25"/>
        </w:rPr>
        <w:t> </w:t>
      </w:r>
      <w:r>
        <w:rPr/>
        <w:t>município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Ipú</w:t>
      </w:r>
      <w:r>
        <w:rPr>
          <w:spacing w:val="25"/>
        </w:rPr>
        <w:t> </w:t>
      </w:r>
      <w:r>
        <w:rPr/>
        <w:t>referente</w:t>
      </w:r>
      <w:r>
        <w:rPr>
          <w:spacing w:val="25"/>
        </w:rPr>
        <w:t> </w:t>
      </w:r>
      <w:r>
        <w:rPr/>
        <w:t>à</w:t>
      </w:r>
      <w:r>
        <w:rPr>
          <w:spacing w:val="40"/>
        </w:rPr>
        <w:t> </w:t>
      </w:r>
      <w:r>
        <w:rPr/>
        <w:t>impossibilidade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confirmação</w:t>
      </w:r>
      <w:r>
        <w:rPr>
          <w:spacing w:val="25"/>
        </w:rPr>
        <w:t> </w:t>
      </w:r>
      <w:r>
        <w:rPr/>
        <w:t>do saldo</w:t>
      </w:r>
      <w:r>
        <w:rPr>
          <w:spacing w:val="26"/>
        </w:rPr>
        <w:t> </w:t>
      </w:r>
      <w:r>
        <w:rPr/>
        <w:t>financeiro,</w:t>
      </w:r>
      <w:r>
        <w:rPr>
          <w:spacing w:val="25"/>
        </w:rPr>
        <w:t> </w:t>
      </w:r>
      <w:r>
        <w:rPr/>
        <w:t>mesmo</w:t>
      </w:r>
      <w:r>
        <w:rPr>
          <w:spacing w:val="26"/>
        </w:rPr>
        <w:t> </w:t>
      </w:r>
      <w:r>
        <w:rPr/>
        <w:t>após</w:t>
      </w:r>
      <w:r>
        <w:rPr>
          <w:spacing w:val="25"/>
        </w:rPr>
        <w:t> </w:t>
      </w:r>
      <w:r>
        <w:rPr/>
        <w:t>exame</w:t>
      </w:r>
      <w:r>
        <w:rPr>
          <w:spacing w:val="26"/>
        </w:rPr>
        <w:t> </w:t>
      </w:r>
      <w:r>
        <w:rPr/>
        <w:t>da</w:t>
      </w:r>
      <w:r>
        <w:rPr>
          <w:spacing w:val="26"/>
        </w:rPr>
        <w:t> </w:t>
      </w:r>
      <w:r>
        <w:rPr/>
        <w:t>defesa</w:t>
      </w:r>
      <w:r>
        <w:rPr>
          <w:spacing w:val="26"/>
        </w:rPr>
        <w:t> </w:t>
      </w:r>
      <w:r>
        <w:rPr/>
        <w:t>apresentada,</w:t>
      </w:r>
      <w:r>
        <w:rPr>
          <w:spacing w:val="25"/>
        </w:rPr>
        <w:t> </w:t>
      </w:r>
      <w:r>
        <w:rPr/>
        <w:t>restou</w:t>
      </w:r>
      <w:r>
        <w:rPr>
          <w:spacing w:val="26"/>
        </w:rPr>
        <w:t> </w:t>
      </w:r>
      <w:r>
        <w:rPr/>
        <w:t>ratificada</w:t>
      </w:r>
      <w:r>
        <w:rPr>
          <w:spacing w:val="26"/>
        </w:rPr>
        <w:t> </w:t>
      </w:r>
      <w:r>
        <w:rPr/>
        <w:t>a</w:t>
      </w:r>
      <w:r>
        <w:rPr>
          <w:spacing w:val="24"/>
        </w:rPr>
        <w:t> </w:t>
      </w:r>
      <w:r>
        <w:rPr/>
        <w:t>ausência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comprovação</w:t>
      </w:r>
      <w:r>
        <w:rPr>
          <w:spacing w:val="26"/>
        </w:rPr>
        <w:t> </w:t>
      </w:r>
      <w:r>
        <w:rPr/>
        <w:t>do</w:t>
      </w:r>
      <w:r>
        <w:rPr>
          <w:spacing w:val="24"/>
        </w:rPr>
        <w:t> </w:t>
      </w:r>
      <w:r>
        <w:rPr/>
        <w:t>saldo financeiro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exercício</w:t>
      </w:r>
      <w:r>
        <w:rPr>
          <w:spacing w:val="80"/>
        </w:rPr>
        <w:t> </w:t>
      </w:r>
      <w:r>
        <w:rPr/>
        <w:t>seguinte,</w:t>
      </w:r>
      <w:r>
        <w:rPr>
          <w:spacing w:val="80"/>
        </w:rPr>
        <w:t> </w:t>
      </w:r>
      <w:r>
        <w:rPr/>
        <w:t>bem</w:t>
      </w:r>
      <w:r>
        <w:rPr>
          <w:spacing w:val="80"/>
        </w:rPr>
        <w:t> </w:t>
      </w:r>
      <w:r>
        <w:rPr/>
        <w:t>como</w:t>
      </w:r>
      <w:r>
        <w:rPr>
          <w:spacing w:val="80"/>
        </w:rPr>
        <w:t> </w:t>
      </w:r>
      <w:r>
        <w:rPr/>
        <w:t>não</w:t>
      </w:r>
      <w:r>
        <w:rPr>
          <w:spacing w:val="80"/>
        </w:rPr>
        <w:t> </w:t>
      </w:r>
      <w:r>
        <w:rPr/>
        <w:t>houve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apresentação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argumentos</w:t>
      </w:r>
      <w:r>
        <w:rPr>
          <w:spacing w:val="80"/>
        </w:rPr>
        <w:t> </w:t>
      </w:r>
      <w:r>
        <w:rPr/>
        <w:t>suficientes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esclarecimento. Assim, a simples remessa das peças omissas na fase inicial não sana a impropriedade, haja vista que os</w:t>
      </w:r>
      <w:r>
        <w:rPr>
          <w:spacing w:val="24"/>
        </w:rPr>
        <w:t> </w:t>
      </w:r>
      <w:r>
        <w:rPr/>
        <w:t>extratos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respectivas</w:t>
      </w:r>
      <w:r>
        <w:rPr>
          <w:spacing w:val="25"/>
        </w:rPr>
        <w:t> </w:t>
      </w:r>
      <w:r>
        <w:rPr/>
        <w:t>conciliações</w:t>
      </w:r>
      <w:r>
        <w:rPr>
          <w:spacing w:val="25"/>
        </w:rPr>
        <w:t> </w:t>
      </w:r>
      <w:r>
        <w:rPr/>
        <w:t>bancárias</w:t>
      </w:r>
      <w:r>
        <w:rPr>
          <w:spacing w:val="24"/>
        </w:rPr>
        <w:t> </w:t>
      </w:r>
      <w:r>
        <w:rPr/>
        <w:t>são</w:t>
      </w:r>
      <w:r>
        <w:rPr>
          <w:spacing w:val="24"/>
        </w:rPr>
        <w:t> </w:t>
      </w:r>
      <w:r>
        <w:rPr/>
        <w:t>partes</w:t>
      </w:r>
      <w:r>
        <w:rPr>
          <w:spacing w:val="24"/>
        </w:rPr>
        <w:t> </w:t>
      </w:r>
      <w:r>
        <w:rPr/>
        <w:t>integrantes</w:t>
      </w:r>
      <w:r>
        <w:rPr>
          <w:spacing w:val="25"/>
        </w:rPr>
        <w:t> </w:t>
      </w:r>
      <w:r>
        <w:rPr/>
        <w:t>da</w:t>
      </w:r>
      <w:r>
        <w:rPr>
          <w:spacing w:val="24"/>
        </w:rPr>
        <w:t> </w:t>
      </w:r>
      <w:r>
        <w:rPr/>
        <w:t>prestação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contas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gestão,</w:t>
      </w:r>
      <w:r>
        <w:rPr>
          <w:spacing w:val="24"/>
        </w:rPr>
        <w:t> </w:t>
      </w:r>
      <w:r>
        <w:rPr/>
        <w:t>conforme dispõe a</w:t>
      </w:r>
      <w:r>
        <w:rPr>
          <w:spacing w:val="-1"/>
        </w:rPr>
        <w:t> </w:t>
      </w:r>
      <w:r>
        <w:rPr/>
        <w:t>Instrução Normativa</w:t>
      </w:r>
      <w:r>
        <w:rPr>
          <w:spacing w:val="-1"/>
        </w:rPr>
        <w:t> </w:t>
      </w:r>
      <w:r>
        <w:rPr/>
        <w:t>n.º 03/2013-TCM, sendo documentos obrigatórios não somente para a</w:t>
      </w:r>
      <w:r>
        <w:rPr>
          <w:spacing w:val="-1"/>
        </w:rPr>
        <w:t> </w:t>
      </w:r>
      <w:r>
        <w:rPr/>
        <w:t>remessa, mas para a</w:t>
      </w:r>
      <w:r>
        <w:rPr>
          <w:spacing w:val="23"/>
        </w:rPr>
        <w:t> </w:t>
      </w:r>
      <w:r>
        <w:rPr/>
        <w:t>efetiva</w:t>
      </w:r>
      <w:r>
        <w:rPr>
          <w:spacing w:val="23"/>
        </w:rPr>
        <w:t> </w:t>
      </w:r>
      <w:r>
        <w:rPr/>
        <w:t>apuração</w:t>
      </w:r>
      <w:r>
        <w:rPr>
          <w:spacing w:val="21"/>
        </w:rPr>
        <w:t> </w:t>
      </w:r>
      <w:r>
        <w:rPr/>
        <w:t>e</w:t>
      </w:r>
      <w:r>
        <w:rPr>
          <w:spacing w:val="23"/>
        </w:rPr>
        <w:t> </w:t>
      </w:r>
      <w:r>
        <w:rPr/>
        <w:t>comprovação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saldo</w:t>
      </w:r>
      <w:r>
        <w:rPr>
          <w:spacing w:val="21"/>
        </w:rPr>
        <w:t> </w:t>
      </w:r>
      <w:r>
        <w:rPr/>
        <w:t>das</w:t>
      </w:r>
      <w:r>
        <w:rPr>
          <w:spacing w:val="21"/>
        </w:rPr>
        <w:t> </w:t>
      </w:r>
      <w:r>
        <w:rPr/>
        <w:t>disponibilidades</w:t>
      </w:r>
      <w:r>
        <w:rPr>
          <w:spacing w:val="23"/>
        </w:rPr>
        <w:t> </w:t>
      </w:r>
      <w:r>
        <w:rPr/>
        <w:t>financeiras</w:t>
      </w:r>
      <w:r>
        <w:rPr>
          <w:spacing w:val="23"/>
        </w:rPr>
        <w:t> </w:t>
      </w:r>
      <w:r>
        <w:rPr/>
        <w:t>ao</w:t>
      </w:r>
      <w:r>
        <w:rPr>
          <w:spacing w:val="23"/>
        </w:rPr>
        <w:t> </w:t>
      </w:r>
      <w:r>
        <w:rPr/>
        <w:t>final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cada</w:t>
      </w:r>
      <w:r>
        <w:rPr>
          <w:spacing w:val="21"/>
        </w:rPr>
        <w:t> </w:t>
      </w:r>
      <w:r>
        <w:rPr/>
        <w:t>exercício.</w:t>
      </w:r>
      <w:r>
        <w:rPr>
          <w:spacing w:val="23"/>
        </w:rPr>
        <w:t> </w:t>
      </w:r>
      <w:r>
        <w:rPr/>
        <w:t>É</w:t>
      </w:r>
      <w:r>
        <w:rPr>
          <w:spacing w:val="21"/>
        </w:rPr>
        <w:t> </w:t>
      </w:r>
      <w:r>
        <w:rPr/>
        <w:t>importante frisar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é</w:t>
      </w:r>
      <w:r>
        <w:rPr>
          <w:spacing w:val="28"/>
        </w:rPr>
        <w:t> </w:t>
      </w:r>
      <w:r>
        <w:rPr/>
        <w:t>compulsório</w:t>
      </w:r>
      <w:r>
        <w:rPr>
          <w:spacing w:val="28"/>
        </w:rPr>
        <w:t> </w:t>
      </w:r>
      <w:r>
        <w:rPr/>
        <w:t>ao</w:t>
      </w:r>
      <w:r>
        <w:rPr>
          <w:spacing w:val="28"/>
        </w:rPr>
        <w:t> </w:t>
      </w:r>
      <w:r>
        <w:rPr/>
        <w:t>gestor</w:t>
      </w:r>
      <w:r>
        <w:rPr>
          <w:spacing w:val="26"/>
        </w:rPr>
        <w:t> </w:t>
      </w:r>
      <w:r>
        <w:rPr/>
        <w:t>público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cada</w:t>
      </w:r>
      <w:r>
        <w:rPr>
          <w:spacing w:val="28"/>
        </w:rPr>
        <w:t> </w:t>
      </w:r>
      <w:r>
        <w:rPr/>
        <w:t>unidade</w:t>
      </w:r>
      <w:r>
        <w:rPr>
          <w:spacing w:val="28"/>
        </w:rPr>
        <w:t> </w:t>
      </w:r>
      <w:r>
        <w:rPr/>
        <w:t>orçamentária</w:t>
      </w:r>
      <w:r>
        <w:rPr>
          <w:spacing w:val="30"/>
        </w:rPr>
        <w:t> </w:t>
      </w:r>
      <w:r>
        <w:rPr/>
        <w:t>encaminhar</w:t>
      </w:r>
      <w:r>
        <w:rPr>
          <w:spacing w:val="26"/>
        </w:rPr>
        <w:t> </w:t>
      </w:r>
      <w:r>
        <w:rPr/>
        <w:t>tais</w:t>
      </w:r>
      <w:r>
        <w:rPr>
          <w:spacing w:val="27"/>
        </w:rPr>
        <w:t> </w:t>
      </w:r>
      <w:r>
        <w:rPr/>
        <w:t>peças,</w:t>
      </w:r>
      <w:r>
        <w:rPr>
          <w:spacing w:val="27"/>
        </w:rPr>
        <w:t> </w:t>
      </w:r>
      <w:r>
        <w:rPr/>
        <w:t>como</w:t>
      </w:r>
      <w:r>
        <w:rPr>
          <w:spacing w:val="30"/>
        </w:rPr>
        <w:t> </w:t>
      </w:r>
      <w:r>
        <w:rPr/>
        <w:t>determina</w:t>
      </w:r>
      <w:r>
        <w:rPr>
          <w:spacing w:val="30"/>
        </w:rPr>
        <w:t> </w:t>
      </w:r>
      <w:r>
        <w:rPr/>
        <w:t>a norma citada e estas devem refletir com exatidão o saldo registrado na prestação de contas. Persiste a divergência que impossibilita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/>
        <w:t>comprovação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saldo</w:t>
      </w:r>
      <w:r>
        <w:rPr>
          <w:spacing w:val="37"/>
        </w:rPr>
        <w:t> </w:t>
      </w:r>
      <w:r>
        <w:rPr/>
        <w:t>financeiro</w:t>
      </w:r>
      <w:r>
        <w:rPr>
          <w:spacing w:val="37"/>
        </w:rPr>
        <w:t> </w:t>
      </w:r>
      <w:r>
        <w:rPr/>
        <w:t>final</w:t>
      </w:r>
      <w:r>
        <w:rPr>
          <w:spacing w:val="36"/>
        </w:rPr>
        <w:t> </w:t>
      </w:r>
      <w:r>
        <w:rPr/>
        <w:t>impondo-se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/>
        <w:t>ressarcimento</w:t>
      </w:r>
      <w:r>
        <w:rPr>
          <w:spacing w:val="37"/>
        </w:rPr>
        <w:t> </w:t>
      </w:r>
      <w:r>
        <w:rPr/>
        <w:t>integral</w:t>
      </w:r>
      <w:r>
        <w:rPr>
          <w:spacing w:val="36"/>
        </w:rPr>
        <w:t> </w:t>
      </w:r>
      <w:r>
        <w:rPr/>
        <w:t>ao</w:t>
      </w:r>
      <w:r>
        <w:rPr>
          <w:spacing w:val="37"/>
        </w:rPr>
        <w:t> </w:t>
      </w:r>
      <w:r>
        <w:rPr/>
        <w:t>Erário</w:t>
      </w:r>
      <w:r>
        <w:rPr>
          <w:spacing w:val="37"/>
        </w:rPr>
        <w:t> </w:t>
      </w:r>
      <w:r>
        <w:rPr/>
        <w:t>pelo</w:t>
      </w:r>
      <w:r>
        <w:rPr>
          <w:spacing w:val="37"/>
        </w:rPr>
        <w:t> </w:t>
      </w:r>
      <w:r>
        <w:rPr/>
        <w:t>valor</w:t>
      </w:r>
      <w:r>
        <w:rPr>
          <w:spacing w:val="37"/>
        </w:rPr>
        <w:t> </w:t>
      </w:r>
      <w:r>
        <w:rPr/>
        <w:t>não confirmado, além da aplicação de multa. A eventual ausência de comprovação demonstra um descontrole contábil e financeiro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gestão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pode</w:t>
      </w:r>
      <w:r>
        <w:rPr>
          <w:spacing w:val="22"/>
        </w:rPr>
        <w:t> </w:t>
      </w:r>
      <w:r>
        <w:rPr/>
        <w:t>ensejar,</w:t>
      </w:r>
      <w:r>
        <w:rPr>
          <w:spacing w:val="22"/>
        </w:rPr>
        <w:t> </w:t>
      </w:r>
      <w:r>
        <w:rPr/>
        <w:t>inclusive,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constatação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prejuízo</w:t>
      </w:r>
      <w:r>
        <w:rPr>
          <w:spacing w:val="22"/>
        </w:rPr>
        <w:t> </w:t>
      </w:r>
      <w:r>
        <w:rPr/>
        <w:t>aos</w:t>
      </w:r>
      <w:r>
        <w:rPr>
          <w:spacing w:val="24"/>
        </w:rPr>
        <w:t> </w:t>
      </w:r>
      <w:r>
        <w:rPr/>
        <w:t>cofres</w:t>
      </w:r>
      <w:r>
        <w:rPr>
          <w:spacing w:val="22"/>
        </w:rPr>
        <w:t> </w:t>
      </w:r>
      <w:r>
        <w:rPr/>
        <w:t>públicos.</w:t>
      </w:r>
      <w:r>
        <w:rPr>
          <w:spacing w:val="22"/>
        </w:rPr>
        <w:t> </w:t>
      </w:r>
      <w:r>
        <w:rPr/>
        <w:t>Logo,</w:t>
      </w:r>
      <w:r>
        <w:rPr>
          <w:spacing w:val="22"/>
        </w:rPr>
        <w:t> </w:t>
      </w:r>
      <w:r>
        <w:rPr/>
        <w:t>acordaram</w:t>
      </w:r>
      <w:r>
        <w:rPr>
          <w:spacing w:val="21"/>
        </w:rPr>
        <w:t> </w:t>
      </w:r>
      <w:r>
        <w:rPr/>
        <w:t>os integrantes da Primeira Câmara Virtual do Tribunal de Contas do Estado do Ceará, por unanimidade dos votos, a julgar as contas irregulares.</w:t>
      </w:r>
    </w:p>
    <w:p>
      <w:pPr>
        <w:pStyle w:val="BodyText"/>
        <w:spacing w:before="54"/>
      </w:pPr>
    </w:p>
    <w:p>
      <w:pPr>
        <w:tabs>
          <w:tab w:pos="6133" w:val="left" w:leader="none"/>
          <w:tab w:pos="9527" w:val="left" w:leader="none"/>
        </w:tabs>
        <w:spacing w:before="0"/>
        <w:ind w:left="16" w:right="0" w:firstLine="0"/>
        <w:jc w:val="left"/>
        <w:rPr>
          <w:sz w:val="18"/>
        </w:rPr>
      </w:pP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n°.40505/2018-6</w:t>
      </w:r>
      <w:r>
        <w:rPr>
          <w:spacing w:val="42"/>
          <w:sz w:val="18"/>
        </w:rPr>
        <w:t>  </w:t>
      </w:r>
      <w:r>
        <w:rPr>
          <w:sz w:val="18"/>
        </w:rPr>
        <w:t>Relator</w:t>
      </w:r>
      <w:r>
        <w:rPr>
          <w:spacing w:val="-3"/>
          <w:sz w:val="18"/>
        </w:rPr>
        <w:t> </w:t>
      </w:r>
      <w:r>
        <w:rPr>
          <w:sz w:val="18"/>
        </w:rPr>
        <w:t>Conselheiro</w:t>
      </w:r>
      <w:r>
        <w:rPr>
          <w:spacing w:val="-3"/>
          <w:sz w:val="18"/>
        </w:rPr>
        <w:t> </w:t>
      </w:r>
      <w:r>
        <w:rPr>
          <w:sz w:val="18"/>
        </w:rPr>
        <w:t>Substituto</w:t>
      </w:r>
      <w:r>
        <w:rPr>
          <w:spacing w:val="-4"/>
          <w:sz w:val="18"/>
        </w:rPr>
        <w:t> </w:t>
      </w:r>
      <w:r>
        <w:rPr>
          <w:sz w:val="18"/>
        </w:rPr>
        <w:t>Paulo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César</w:t>
      </w:r>
      <w:r>
        <w:rPr>
          <w:sz w:val="18"/>
        </w:rPr>
        <w:tab/>
        <w:t>Sessão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10/04/2023</w:t>
      </w:r>
      <w:r>
        <w:rPr>
          <w:spacing w:val="44"/>
          <w:sz w:val="18"/>
        </w:rPr>
        <w:t>  </w:t>
      </w:r>
      <w:r>
        <w:rPr>
          <w:sz w:val="18"/>
        </w:rPr>
        <w:t>Ata</w:t>
      </w:r>
      <w:r>
        <w:rPr>
          <w:spacing w:val="-2"/>
          <w:sz w:val="18"/>
        </w:rPr>
        <w:t> n°153</w:t>
      </w:r>
      <w:r>
        <w:rPr>
          <w:sz w:val="18"/>
        </w:rPr>
        <w:tab/>
        <w:t>DO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08/05/2023</w:t>
      </w:r>
    </w:p>
    <w:p>
      <w:pPr>
        <w:pStyle w:val="BodyText"/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396240</wp:posOffset>
                </wp:positionH>
                <wp:positionV relativeFrom="paragraph">
                  <wp:posOffset>226405</wp:posOffset>
                </wp:positionV>
                <wp:extent cx="6755765" cy="3365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55765" cy="336550"/>
                          <a:chExt cx="6755765" cy="3365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5377" cy="336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755765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5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 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5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3784/2023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200001pt;margin-top:17.827198pt;width:531.950pt;height:26.5pt;mso-position-horizontal-relative:page;mso-position-vertical-relative:paragraph;z-index:-15727616;mso-wrap-distance-left:0;mso-wrap-distance-right:0" id="docshapegroup11" coordorigin="624,357" coordsize="10639,530">
                <v:shape style="position:absolute;left:624;top:356;width:10639;height:530" type="#_x0000_t75" id="docshape12" stroked="false">
                  <v:imagedata r:id="rId9" o:title=""/>
                </v:shape>
                <v:shape style="position:absolute;left:624;top:356;width:10639;height:530" type="#_x0000_t202" id="docshape13" filled="false" stroked="false">
                  <v:textbox inset="0,0,0,0">
                    <w:txbxContent>
                      <w:p>
                        <w:pPr>
                          <w:spacing w:before="99"/>
                          <w:ind w:left="15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 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3784/2023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4"/>
        <w:rPr>
          <w:sz w:val="22"/>
        </w:rPr>
      </w:pPr>
    </w:p>
    <w:p>
      <w:pPr>
        <w:pStyle w:val="Heading1"/>
        <w:spacing w:line="276" w:lineRule="auto"/>
      </w:pPr>
      <w:r>
        <w:rPr/>
        <w:t>REPRESENTAÇÃO. TOMADA DE PREÇO. PRESTAÇÃO DE SERVIÇO. INDÍCIOS DE IRREGULARIDADE. RECURSOS FINANCEIROS FEDERAIS E MUNICIPAIS. COMPETÊNCIA CONCORRENTE. POSSIBILIDADE DE DANO AO ERÁRIO. NECESSIDADE DE QUANTIFICAÇÃO. ADMISSIBILIDADE DE REPRESENTAÇÃO.</w:t>
      </w:r>
    </w:p>
    <w:p>
      <w:pPr>
        <w:pStyle w:val="BodyText"/>
        <w:spacing w:before="34"/>
        <w:rPr>
          <w:rFonts w:ascii="Arial"/>
          <w:b/>
          <w:sz w:val="22"/>
        </w:rPr>
      </w:pPr>
    </w:p>
    <w:p>
      <w:pPr>
        <w:pStyle w:val="BodyText"/>
        <w:spacing w:line="276" w:lineRule="auto"/>
        <w:ind w:left="16" w:right="30"/>
        <w:jc w:val="both"/>
      </w:pPr>
      <w:r>
        <w:rPr/>
        <w:t>Representação informando supostas irregularidades verificadas na construção da Academia de Saúde no Município de Guaiúba/CE,</w:t>
      </w:r>
      <w:r>
        <w:rPr>
          <w:spacing w:val="-2"/>
        </w:rPr>
        <w:t> </w:t>
      </w:r>
      <w:r>
        <w:rPr/>
        <w:t>financiada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Fundo Nacional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 -</w:t>
      </w:r>
      <w:r>
        <w:rPr>
          <w:spacing w:val="-3"/>
        </w:rPr>
        <w:t> </w:t>
      </w:r>
      <w:r>
        <w:rPr/>
        <w:t>FNS,</w:t>
      </w:r>
      <w:r>
        <w:rPr>
          <w:spacing w:val="-2"/>
        </w:rPr>
        <w:t> </w:t>
      </w:r>
      <w:r>
        <w:rPr/>
        <w:t>referentes aos</w:t>
      </w:r>
      <w:r>
        <w:rPr>
          <w:spacing w:val="-2"/>
        </w:rPr>
        <w:t> </w:t>
      </w:r>
      <w:r>
        <w:rPr/>
        <w:t>exercícios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2013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2016. Embora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obra contenha majoritariamente recursos federais há contrapartida municipal, conforme informado na análise técnica. Logo, independente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preponderância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recursos</w:t>
      </w:r>
      <w:r>
        <w:rPr>
          <w:spacing w:val="27"/>
        </w:rPr>
        <w:t> </w:t>
      </w:r>
      <w:r>
        <w:rPr/>
        <w:t>federais</w:t>
      </w:r>
      <w:r>
        <w:rPr>
          <w:spacing w:val="29"/>
        </w:rPr>
        <w:t> </w:t>
      </w:r>
      <w:r>
        <w:rPr/>
        <w:t>para</w:t>
      </w:r>
      <w:r>
        <w:rPr>
          <w:spacing w:val="30"/>
        </w:rPr>
        <w:t> </w:t>
      </w:r>
      <w:r>
        <w:rPr/>
        <w:t>execução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obra,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existência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verba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origem</w:t>
      </w:r>
      <w:r>
        <w:rPr>
          <w:spacing w:val="30"/>
        </w:rPr>
        <w:t> </w:t>
      </w:r>
      <w:r>
        <w:rPr/>
        <w:t>dos</w:t>
      </w:r>
    </w:p>
    <w:p>
      <w:pPr>
        <w:pStyle w:val="BodyText"/>
        <w:spacing w:after="0" w:line="276" w:lineRule="auto"/>
        <w:jc w:val="both"/>
        <w:sectPr>
          <w:footerReference w:type="default" r:id="rId5"/>
          <w:type w:val="continuous"/>
          <w:pgSz w:w="11910" w:h="16840"/>
          <w:pgMar w:header="0" w:footer="660" w:top="0" w:bottom="860" w:left="566" w:right="566"/>
          <w:pgNumType w:start="1"/>
        </w:sectPr>
      </w:pPr>
    </w:p>
    <w:p>
      <w:pPr>
        <w:pStyle w:val="BodyText"/>
        <w:spacing w:line="276" w:lineRule="auto" w:before="64"/>
        <w:ind w:left="16" w:right="31"/>
        <w:jc w:val="both"/>
      </w:pPr>
      <w:r>
        <w:rPr/>
        <w:t>cofres municipais confere competência a este Tribunal de Contas para agir, nos termos do art. 1º, inciso I, da Lei Orgânica desta Corte de Contas, assim considera-se o dano a ser imputado ao Município de Guaiúba o valor de R$ 11.080,28, e não de R$ 30.343,80, vale ressaltar que o recálculo do valor se deu por exclusão da quantia de origem federal. Além disso, deve ser considerada sua baixa materialidade (R$ 11.080,28), uma vez que a Resolução Administrativa nº 07/2023 deste Tribunal de Contas fixou o valor de alçada em R$ 57.017,90, ou seja, este é o valor a partir do qual ficará dispensada a instauração de Tomada de Contas Especial. De acordo com o mencionado normativo, os processos de ressarcimento de dano ao Erário devem pautar-se pelos princípios do devido processo legal, da ampla defesa, do contraditório, da celeridade, da racionalidade administrativa e da economia processual, evitando que o custo da cobrança seja superior ao valor do ressarcimento pretendido. A Primeira Câmara Virtual do Tribunal de Contas do Estado do Ceará, por unanimidade dos votos, conheceu a presente Representação, tendo em vista estarem presentes os requisitos de admissibilidade.</w:t>
      </w:r>
    </w:p>
    <w:p>
      <w:pPr>
        <w:pStyle w:val="BodyText"/>
        <w:spacing w:before="29"/>
      </w:pPr>
    </w:p>
    <w:p>
      <w:pPr>
        <w:spacing w:before="1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1"/>
          <w:sz w:val="18"/>
        </w:rPr>
        <w:t> </w:t>
      </w:r>
      <w:r>
        <w:rPr>
          <w:sz w:val="18"/>
        </w:rPr>
        <w:t>n°.10534/2018-6</w:t>
      </w:r>
      <w:r>
        <w:rPr>
          <w:spacing w:val="45"/>
          <w:sz w:val="18"/>
        </w:rPr>
        <w:t>  </w:t>
      </w:r>
      <w:r>
        <w:rPr>
          <w:sz w:val="18"/>
        </w:rPr>
        <w:t>Relator Conselheiro</w:t>
      </w:r>
      <w:r>
        <w:rPr>
          <w:spacing w:val="-3"/>
          <w:sz w:val="18"/>
        </w:rPr>
        <w:t> </w:t>
      </w:r>
      <w:r>
        <w:rPr>
          <w:sz w:val="18"/>
        </w:rPr>
        <w:t>Substituto</w:t>
      </w:r>
      <w:r>
        <w:rPr>
          <w:spacing w:val="-3"/>
          <w:sz w:val="18"/>
        </w:rPr>
        <w:t> </w:t>
      </w:r>
      <w:r>
        <w:rPr>
          <w:sz w:val="18"/>
        </w:rPr>
        <w:t>Paulo</w:t>
      </w:r>
      <w:r>
        <w:rPr>
          <w:spacing w:val="-1"/>
          <w:sz w:val="18"/>
        </w:rPr>
        <w:t> </w:t>
      </w:r>
      <w:r>
        <w:rPr>
          <w:sz w:val="18"/>
        </w:rPr>
        <w:t>César</w:t>
      </w:r>
      <w:r>
        <w:rPr>
          <w:spacing w:val="77"/>
          <w:sz w:val="18"/>
        </w:rPr>
        <w:t>   </w:t>
      </w:r>
      <w:r>
        <w:rPr>
          <w:sz w:val="18"/>
        </w:rPr>
        <w:t>Sessão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10/04/2023</w:t>
      </w:r>
      <w:r>
        <w:rPr>
          <w:spacing w:val="46"/>
          <w:sz w:val="18"/>
        </w:rPr>
        <w:t>  </w:t>
      </w:r>
      <w:r>
        <w:rPr>
          <w:sz w:val="18"/>
        </w:rPr>
        <w:t>Ata</w:t>
      </w:r>
      <w:r>
        <w:rPr>
          <w:spacing w:val="-2"/>
          <w:sz w:val="18"/>
        </w:rPr>
        <w:t> </w:t>
      </w:r>
      <w:r>
        <w:rPr>
          <w:sz w:val="18"/>
        </w:rPr>
        <w:t>n°153</w:t>
      </w:r>
      <w:r>
        <w:rPr>
          <w:spacing w:val="68"/>
          <w:w w:val="150"/>
          <w:sz w:val="18"/>
        </w:rPr>
        <w:t>   </w:t>
      </w:r>
      <w:r>
        <w:rPr>
          <w:sz w:val="18"/>
        </w:rPr>
        <w:t>DO</w:t>
      </w:r>
      <w:r>
        <w:rPr>
          <w:spacing w:val="-2"/>
          <w:sz w:val="18"/>
        </w:rPr>
        <w:t> 08/05/2023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8"/>
        <w:rPr>
          <w:sz w:val="22"/>
        </w:rPr>
      </w:pPr>
    </w:p>
    <w:p>
      <w:pPr>
        <w:pStyle w:val="Heading1"/>
        <w:spacing w:line="276" w:lineRule="auto"/>
        <w:ind w:right="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367029</wp:posOffset>
                </wp:positionH>
                <wp:positionV relativeFrom="paragraph">
                  <wp:posOffset>-592523</wp:posOffset>
                </wp:positionV>
                <wp:extent cx="6824980" cy="34925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4980" cy="349250"/>
                          <a:chExt cx="6824980" cy="34925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980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82498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1087/2023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pt;margin-top:-46.655418pt;width:537.4pt;height:27.5pt;mso-position-horizontal-relative:page;mso-position-vertical-relative:paragraph;z-index:15730688" id="docshapegroup14" coordorigin="578,-933" coordsize="10748,550">
                <v:shape style="position:absolute;left:578;top:-934;width:10748;height:550" type="#_x0000_t75" id="docshape15" stroked="false">
                  <v:imagedata r:id="rId10" o:title=""/>
                </v:shape>
                <v:shape style="position:absolute;left:578;top:-934;width:10748;height:550" type="#_x0000_t202" id="docshape16" filled="false" stroked="false">
                  <v:textbox inset="0,0,0,0">
                    <w:txbxContent>
                      <w:p>
                        <w:pPr>
                          <w:spacing w:before="169"/>
                          <w:ind w:left="0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1087/2023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EMBARGOS DE DECLARAÇÃO. ALEGAÇÃO DE PRESCRIÇÃO. AUSÊNCIA DE ERRO MATERIAL, VÍCIOS, CONTRADIÇÃO, OBSCURIDADE OU OMISSÃO.</w:t>
      </w:r>
      <w:r>
        <w:rPr>
          <w:spacing w:val="40"/>
        </w:rPr>
        <w:t> </w:t>
      </w:r>
      <w:r>
        <w:rPr/>
        <w:t>MATÉRIA DE MÉRITO.</w:t>
      </w:r>
    </w:p>
    <w:p>
      <w:pPr>
        <w:pStyle w:val="BodyText"/>
        <w:spacing w:before="36"/>
        <w:rPr>
          <w:rFonts w:ascii="Arial"/>
          <w:b/>
          <w:sz w:val="22"/>
        </w:rPr>
      </w:pPr>
    </w:p>
    <w:p>
      <w:pPr>
        <w:pStyle w:val="BodyText"/>
        <w:spacing w:line="276" w:lineRule="auto"/>
        <w:ind w:left="16" w:right="17"/>
        <w:jc w:val="both"/>
      </w:pPr>
      <w:r>
        <w:rPr/>
        <w:t>Embargos de Declaração propostos pelo ex-presidente da Câmara Municipal</w:t>
      </w:r>
      <w:r>
        <w:rPr>
          <w:spacing w:val="-1"/>
        </w:rPr>
        <w:t> </w:t>
      </w:r>
      <w:r>
        <w:rPr/>
        <w:t>de Icó. A jurisprudência deste Tribunal tem indicado que, para o conhecimento dos embargos de declaração, é suficiente a mera alegação dos vícios que autorizam a</w:t>
      </w:r>
      <w:r>
        <w:rPr>
          <w:spacing w:val="-2"/>
        </w:rPr>
        <w:t> </w:t>
      </w:r>
      <w:r>
        <w:rPr/>
        <w:t>proposição</w:t>
      </w:r>
      <w:r>
        <w:rPr>
          <w:spacing w:val="-2"/>
        </w:rPr>
        <w:t> </w:t>
      </w:r>
      <w:r>
        <w:rPr/>
        <w:t>dessa</w:t>
      </w:r>
      <w:r>
        <w:rPr>
          <w:spacing w:val="-2"/>
        </w:rPr>
        <w:t> </w:t>
      </w:r>
      <w:r>
        <w:rPr/>
        <w:t>estreita espécie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impugnação de</w:t>
      </w:r>
      <w:r>
        <w:rPr>
          <w:spacing w:val="-2"/>
        </w:rPr>
        <w:t> </w:t>
      </w:r>
      <w:r>
        <w:rPr/>
        <w:t>decisões, de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verificação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existência</w:t>
      </w:r>
      <w:r>
        <w:rPr>
          <w:spacing w:val="-2"/>
        </w:rPr>
        <w:t> </w:t>
      </w:r>
      <w:r>
        <w:rPr/>
        <w:t>dos eventuais defeitos ocorre apenas no momento de apreciação do mérito. No presente caso, o recorrente, num primeiro momento, levanta a questão da prescrição. Expõe que “(…) tendo em vista que o mesmo foi autuado em 03/03/2016, e com prazo legal para julgamento até 02/03/2021, tendo sido somente julgado em 28/06/2021, e publicado em 16/07/2021, portanto, decorridos mais de 5(cinco) anos”. Logo, não é que a presente decisão não seja passível de ajuste, é que a via de correção não é a da interposição de Embargos de Declaração, que são distribuídos ao mesmo Relator do processo principal, a fim de correção ou esclarecimento. A decisão sobre a ocorrência da prescrição trata-se de questão de</w:t>
      </w:r>
      <w:r>
        <w:rPr>
          <w:spacing w:val="40"/>
        </w:rPr>
        <w:t> </w:t>
      </w:r>
      <w:r>
        <w:rPr/>
        <w:t>mérito. O</w:t>
      </w:r>
      <w:r>
        <w:rPr>
          <w:spacing w:val="-1"/>
        </w:rPr>
        <w:t> </w:t>
      </w:r>
      <w:r>
        <w:rPr/>
        <w:t>mérito,</w:t>
      </w:r>
      <w:r>
        <w:rPr>
          <w:spacing w:val="-1"/>
        </w:rPr>
        <w:t> </w:t>
      </w:r>
      <w:r>
        <w:rPr/>
        <w:t>portanto, precisa ser reconsiderado. Com efeito,</w:t>
      </w:r>
      <w:r>
        <w:rPr>
          <w:spacing w:val="-1"/>
        </w:rPr>
        <w:t> </w:t>
      </w:r>
      <w:r>
        <w:rPr/>
        <w:t>a questão deve ser apreciada em sede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 Reconsideração,</w:t>
      </w:r>
      <w:r>
        <w:rPr>
          <w:spacing w:val="-3"/>
        </w:rPr>
        <w:t> </w:t>
      </w:r>
      <w:r>
        <w:rPr/>
        <w:t>que,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natureza,</w:t>
      </w:r>
      <w:r>
        <w:rPr>
          <w:spacing w:val="-1"/>
        </w:rPr>
        <w:t> </w:t>
      </w:r>
      <w:r>
        <w:rPr/>
        <w:t>deverá</w:t>
      </w:r>
      <w:r>
        <w:rPr>
          <w:spacing w:val="-1"/>
        </w:rPr>
        <w:t> </w:t>
      </w:r>
      <w:r>
        <w:rPr/>
        <w:t>receber</w:t>
      </w:r>
      <w:r>
        <w:rPr>
          <w:spacing w:val="-2"/>
        </w:rPr>
        <w:t> </w:t>
      </w:r>
      <w:r>
        <w:rPr/>
        <w:t>outra</w:t>
      </w:r>
      <w:r>
        <w:rPr>
          <w:spacing w:val="-1"/>
        </w:rPr>
        <w:t> </w:t>
      </w:r>
      <w:r>
        <w:rPr/>
        <w:t>relatoria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principal.</w:t>
      </w:r>
      <w:r>
        <w:rPr>
          <w:spacing w:val="-1"/>
        </w:rPr>
        <w:t> </w:t>
      </w:r>
      <w:r>
        <w:rPr/>
        <w:t>A Primeira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Virtual do Tribunal de Contas do Estado do Ceará, por unanimidade dos votos, conheceu o presente Embargo de Declaração, posto que presentes os requisitos de admissibilidade previstos no art. 31 da Lei Orgânica e no art. 105 no Regimento Interno, ambos deste Tribunal de Contas e, por maioria dos votos negar provimento, no mérito, dada a ausência de erro material, contradição, obscuridade ou omissão.</w:t>
      </w:r>
    </w:p>
    <w:p>
      <w:pPr>
        <w:pStyle w:val="BodyText"/>
        <w:spacing w:before="52"/>
      </w:pPr>
    </w:p>
    <w:p>
      <w:pPr>
        <w:spacing w:before="0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1"/>
          <w:sz w:val="18"/>
        </w:rPr>
        <w:t> </w:t>
      </w:r>
      <w:r>
        <w:rPr>
          <w:sz w:val="18"/>
        </w:rPr>
        <w:t>n°.</w:t>
      </w:r>
      <w:r>
        <w:rPr>
          <w:spacing w:val="-1"/>
          <w:sz w:val="18"/>
        </w:rPr>
        <w:t> </w:t>
      </w:r>
      <w:r>
        <w:rPr>
          <w:sz w:val="18"/>
        </w:rPr>
        <w:t>17520/2021-0</w:t>
      </w:r>
      <w:r>
        <w:rPr>
          <w:spacing w:val="70"/>
          <w:sz w:val="18"/>
        </w:rPr>
        <w:t>  </w:t>
      </w:r>
      <w:r>
        <w:rPr>
          <w:sz w:val="18"/>
        </w:rPr>
        <w:t>Relator</w:t>
      </w:r>
      <w:r>
        <w:rPr>
          <w:spacing w:val="-2"/>
          <w:sz w:val="18"/>
        </w:rPr>
        <w:t> </w:t>
      </w:r>
      <w:r>
        <w:rPr>
          <w:sz w:val="18"/>
        </w:rPr>
        <w:t>Conselheiro-Substituto</w:t>
      </w:r>
      <w:r>
        <w:rPr>
          <w:spacing w:val="-2"/>
          <w:sz w:val="18"/>
        </w:rPr>
        <w:t> </w:t>
      </w:r>
      <w:r>
        <w:rPr>
          <w:sz w:val="18"/>
        </w:rPr>
        <w:t>Paulo</w:t>
      </w:r>
      <w:r>
        <w:rPr>
          <w:spacing w:val="-3"/>
          <w:sz w:val="18"/>
        </w:rPr>
        <w:t> </w:t>
      </w:r>
      <w:r>
        <w:rPr>
          <w:sz w:val="18"/>
        </w:rPr>
        <w:t>César.</w:t>
      </w:r>
      <w:r>
        <w:rPr>
          <w:spacing w:val="70"/>
          <w:w w:val="150"/>
          <w:sz w:val="18"/>
        </w:rPr>
        <w:t> </w:t>
      </w:r>
      <w:r>
        <w:rPr>
          <w:sz w:val="18"/>
        </w:rPr>
        <w:t>Sessão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10/04/2023</w:t>
      </w:r>
      <w:r>
        <w:rPr>
          <w:spacing w:val="70"/>
          <w:w w:val="150"/>
          <w:sz w:val="18"/>
        </w:rPr>
        <w:t> </w:t>
      </w:r>
      <w:r>
        <w:rPr>
          <w:sz w:val="18"/>
        </w:rPr>
        <w:t>Ata</w:t>
      </w:r>
      <w:r>
        <w:rPr>
          <w:spacing w:val="-3"/>
          <w:sz w:val="18"/>
        </w:rPr>
        <w:t> </w:t>
      </w:r>
      <w:r>
        <w:rPr>
          <w:sz w:val="18"/>
        </w:rPr>
        <w:t>n°</w:t>
      </w:r>
      <w:r>
        <w:rPr>
          <w:spacing w:val="48"/>
          <w:sz w:val="18"/>
        </w:rPr>
        <w:t> </w:t>
      </w:r>
      <w:r>
        <w:rPr>
          <w:sz w:val="18"/>
        </w:rPr>
        <w:t>153</w:t>
      </w:r>
      <w:r>
        <w:rPr>
          <w:spacing w:val="71"/>
          <w:sz w:val="18"/>
        </w:rPr>
        <w:t>   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08/05/2023</w:t>
      </w:r>
    </w:p>
    <w:sectPr>
      <w:pgSz w:w="11910" w:h="16840"/>
      <w:pgMar w:header="0" w:footer="660" w:top="1360" w:bottom="86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1270</wp:posOffset>
          </wp:positionH>
          <wp:positionV relativeFrom="page">
            <wp:posOffset>10109979</wp:posOffset>
          </wp:positionV>
          <wp:extent cx="7555230" cy="546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23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" w:right="19"/>
      <w:jc w:val="both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2025-10-06T13:47:55Z</dcterms:created>
  <dcterms:modified xsi:type="dcterms:W3CDTF">2025-10-06T13:47:55Z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2023-06-20T00:00:00Z</vt:filetime>
  </property>
</Properties>
</file>