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176">
                <wp:simplePos x="0" y="0"/>
                <wp:positionH relativeFrom="page">
                  <wp:posOffset>635</wp:posOffset>
                </wp:positionH>
                <wp:positionV relativeFrom="page">
                  <wp:posOffset>9</wp:posOffset>
                </wp:positionV>
                <wp:extent cx="7559040" cy="162496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9040" cy="1624965"/>
                          <a:chExt cx="7559040" cy="1624965"/>
                        </a:xfrm>
                      </wpg:grpSpPr>
                      <pic:pic>
                        <pic:nvPicPr>
                          <pic:cNvPr id="3" name="Image 3"/>
                          <pic:cNvPicPr/>
                        </pic:nvPicPr>
                        <pic:blipFill>
                          <a:blip r:embed="rId6" cstate="print"/>
                          <a:stretch>
                            <a:fillRect/>
                          </a:stretch>
                        </pic:blipFill>
                        <pic:spPr>
                          <a:xfrm>
                            <a:off x="0" y="0"/>
                            <a:ext cx="7559040" cy="1609725"/>
                          </a:xfrm>
                          <a:prstGeom prst="rect">
                            <a:avLst/>
                          </a:prstGeom>
                        </pic:spPr>
                      </pic:pic>
                      <wps:wsp>
                        <wps:cNvPr id="4" name="Textbox 4"/>
                        <wps:cNvSpPr txBox="1"/>
                        <wps:spPr>
                          <a:xfrm>
                            <a:off x="4229557" y="1471327"/>
                            <a:ext cx="1797685" cy="153670"/>
                          </a:xfrm>
                          <a:prstGeom prst="rect">
                            <a:avLst/>
                          </a:prstGeom>
                        </wps:spPr>
                        <wps:txbx>
                          <w:txbxContent>
                            <w:p>
                              <w:pPr>
                                <w:spacing w:before="14"/>
                                <w:ind w:left="20" w:right="0" w:firstLine="0"/>
                                <w:jc w:val="left"/>
                                <w:rPr>
                                  <w:rFonts w:ascii="Arial" w:hAnsi="Arial"/>
                                  <w:b/>
                                  <w:i/>
                                  <w:sz w:val="18"/>
                                </w:rPr>
                              </w:pPr>
                              <w:r>
                                <w:rPr>
                                  <w:rFonts w:ascii="Arial" w:hAnsi="Arial"/>
                                  <w:b/>
                                  <w:i/>
                                  <w:sz w:val="18"/>
                                </w:rPr>
                                <w:t>Fortaleza</w:t>
                              </w:r>
                              <w:r>
                                <w:rPr>
                                  <w:rFonts w:ascii="Arial" w:hAnsi="Arial"/>
                                  <w:b/>
                                  <w:i/>
                                  <w:spacing w:val="-4"/>
                                  <w:sz w:val="18"/>
                                </w:rPr>
                                <w:t> </w:t>
                              </w:r>
                              <w:r>
                                <w:rPr>
                                  <w:rFonts w:ascii="Arial" w:hAnsi="Arial"/>
                                  <w:b/>
                                  <w:i/>
                                  <w:sz w:val="18"/>
                                </w:rPr>
                                <w:t>(CE),</w:t>
                              </w:r>
                              <w:r>
                                <w:rPr>
                                  <w:rFonts w:ascii="Arial" w:hAnsi="Arial"/>
                                  <w:b/>
                                  <w:i/>
                                  <w:spacing w:val="-4"/>
                                  <w:sz w:val="18"/>
                                </w:rPr>
                                <w:t> </w:t>
                              </w:r>
                              <w:r>
                                <w:rPr>
                                  <w:rFonts w:ascii="Arial" w:hAnsi="Arial"/>
                                  <w:b/>
                                  <w:i/>
                                  <w:sz w:val="18"/>
                                </w:rPr>
                                <w:t>Ano</w:t>
                              </w:r>
                              <w:r>
                                <w:rPr>
                                  <w:rFonts w:ascii="Arial" w:hAnsi="Arial"/>
                                  <w:b/>
                                  <w:i/>
                                  <w:spacing w:val="-4"/>
                                  <w:sz w:val="18"/>
                                </w:rPr>
                                <w:t> </w:t>
                              </w:r>
                              <w:r>
                                <w:rPr>
                                  <w:rFonts w:ascii="Arial" w:hAnsi="Arial"/>
                                  <w:b/>
                                  <w:i/>
                                  <w:sz w:val="18"/>
                                </w:rPr>
                                <w:t>2025</w:t>
                              </w:r>
                              <w:r>
                                <w:rPr>
                                  <w:rFonts w:ascii="Arial" w:hAnsi="Arial"/>
                                  <w:b/>
                                  <w:i/>
                                  <w:spacing w:val="-4"/>
                                  <w:sz w:val="18"/>
                                </w:rPr>
                                <w:t> </w:t>
                              </w:r>
                              <w:r>
                                <w:rPr>
                                  <w:rFonts w:ascii="Arial" w:hAnsi="Arial"/>
                                  <w:b/>
                                  <w:i/>
                                  <w:sz w:val="18"/>
                                </w:rPr>
                                <w:t>–</w:t>
                              </w:r>
                              <w:r>
                                <w:rPr>
                                  <w:rFonts w:ascii="Arial" w:hAnsi="Arial"/>
                                  <w:b/>
                                  <w:i/>
                                  <w:spacing w:val="-4"/>
                                  <w:sz w:val="18"/>
                                </w:rPr>
                                <w:t> </w:t>
                              </w:r>
                              <w:r>
                                <w:rPr>
                                  <w:rFonts w:ascii="Arial" w:hAnsi="Arial"/>
                                  <w:b/>
                                  <w:i/>
                                  <w:sz w:val="18"/>
                                </w:rPr>
                                <w:t>Nº</w:t>
                              </w:r>
                              <w:r>
                                <w:rPr>
                                  <w:rFonts w:ascii="Arial" w:hAnsi="Arial"/>
                                  <w:b/>
                                  <w:i/>
                                  <w:spacing w:val="-4"/>
                                  <w:sz w:val="18"/>
                                </w:rPr>
                                <w:t> </w:t>
                              </w:r>
                              <w:r>
                                <w:rPr>
                                  <w:rFonts w:ascii="Arial" w:hAnsi="Arial"/>
                                  <w:b/>
                                  <w:i/>
                                  <w:spacing w:val="-5"/>
                                  <w:sz w:val="18"/>
                                </w:rPr>
                                <w:t>05</w:t>
                              </w:r>
                            </w:p>
                          </w:txbxContent>
                        </wps:txbx>
                        <wps:bodyPr wrap="square" lIns="0" tIns="0" rIns="0" bIns="0" rtlCol="0">
                          <a:noAutofit/>
                        </wps:bodyPr>
                      </wps:wsp>
                    </wpg:wgp>
                  </a:graphicData>
                </a:graphic>
              </wp:anchor>
            </w:drawing>
          </mc:Choice>
          <mc:Fallback>
            <w:pict>
              <v:group style="position:absolute;margin-left:.05pt;margin-top:.000771pt;width:595.2pt;height:127.95pt;mso-position-horizontal-relative:page;mso-position-vertical-relative:page;z-index:15730176" id="docshapegroup1" coordorigin="1,0" coordsize="11904,2559">
                <v:shape style="position:absolute;left:1;top:0;width:11904;height:2535" type="#_x0000_t75" id="docshape2" stroked="false">
                  <v:imagedata r:id="rId6" o:title=""/>
                </v:shape>
                <v:shapetype id="_x0000_t202" o:spt="202" coordsize="21600,21600" path="m,l,21600r21600,l21600,xe">
                  <v:stroke joinstyle="miter"/>
                  <v:path gradientshapeok="t" o:connecttype="rect"/>
                </v:shapetype>
                <v:shape style="position:absolute;left:6661;top:2317;width:2831;height:242" type="#_x0000_t202" id="docshape3" filled="false" stroked="false">
                  <v:textbox inset="0,0,0,0">
                    <w:txbxContent>
                      <w:p>
                        <w:pPr>
                          <w:spacing w:before="14"/>
                          <w:ind w:left="20" w:right="0" w:firstLine="0"/>
                          <w:jc w:val="left"/>
                          <w:rPr>
                            <w:rFonts w:ascii="Arial" w:hAnsi="Arial"/>
                            <w:b/>
                            <w:i/>
                            <w:sz w:val="18"/>
                          </w:rPr>
                        </w:pPr>
                        <w:r>
                          <w:rPr>
                            <w:rFonts w:ascii="Arial" w:hAnsi="Arial"/>
                            <w:b/>
                            <w:i/>
                            <w:sz w:val="18"/>
                          </w:rPr>
                          <w:t>Fortaleza</w:t>
                        </w:r>
                        <w:r>
                          <w:rPr>
                            <w:rFonts w:ascii="Arial" w:hAnsi="Arial"/>
                            <w:b/>
                            <w:i/>
                            <w:spacing w:val="-4"/>
                            <w:sz w:val="18"/>
                          </w:rPr>
                          <w:t> </w:t>
                        </w:r>
                        <w:r>
                          <w:rPr>
                            <w:rFonts w:ascii="Arial" w:hAnsi="Arial"/>
                            <w:b/>
                            <w:i/>
                            <w:sz w:val="18"/>
                          </w:rPr>
                          <w:t>(CE),</w:t>
                        </w:r>
                        <w:r>
                          <w:rPr>
                            <w:rFonts w:ascii="Arial" w:hAnsi="Arial"/>
                            <w:b/>
                            <w:i/>
                            <w:spacing w:val="-4"/>
                            <w:sz w:val="18"/>
                          </w:rPr>
                          <w:t> </w:t>
                        </w:r>
                        <w:r>
                          <w:rPr>
                            <w:rFonts w:ascii="Arial" w:hAnsi="Arial"/>
                            <w:b/>
                            <w:i/>
                            <w:sz w:val="18"/>
                          </w:rPr>
                          <w:t>Ano</w:t>
                        </w:r>
                        <w:r>
                          <w:rPr>
                            <w:rFonts w:ascii="Arial" w:hAnsi="Arial"/>
                            <w:b/>
                            <w:i/>
                            <w:spacing w:val="-4"/>
                            <w:sz w:val="18"/>
                          </w:rPr>
                          <w:t> </w:t>
                        </w:r>
                        <w:r>
                          <w:rPr>
                            <w:rFonts w:ascii="Arial" w:hAnsi="Arial"/>
                            <w:b/>
                            <w:i/>
                            <w:sz w:val="18"/>
                          </w:rPr>
                          <w:t>2025</w:t>
                        </w:r>
                        <w:r>
                          <w:rPr>
                            <w:rFonts w:ascii="Arial" w:hAnsi="Arial"/>
                            <w:b/>
                            <w:i/>
                            <w:spacing w:val="-4"/>
                            <w:sz w:val="18"/>
                          </w:rPr>
                          <w:t> </w:t>
                        </w:r>
                        <w:r>
                          <w:rPr>
                            <w:rFonts w:ascii="Arial" w:hAnsi="Arial"/>
                            <w:b/>
                            <w:i/>
                            <w:sz w:val="18"/>
                          </w:rPr>
                          <w:t>–</w:t>
                        </w:r>
                        <w:r>
                          <w:rPr>
                            <w:rFonts w:ascii="Arial" w:hAnsi="Arial"/>
                            <w:b/>
                            <w:i/>
                            <w:spacing w:val="-4"/>
                            <w:sz w:val="18"/>
                          </w:rPr>
                          <w:t> </w:t>
                        </w:r>
                        <w:r>
                          <w:rPr>
                            <w:rFonts w:ascii="Arial" w:hAnsi="Arial"/>
                            <w:b/>
                            <w:i/>
                            <w:sz w:val="18"/>
                          </w:rPr>
                          <w:t>Nº</w:t>
                        </w:r>
                        <w:r>
                          <w:rPr>
                            <w:rFonts w:ascii="Arial" w:hAnsi="Arial"/>
                            <w:b/>
                            <w:i/>
                            <w:spacing w:val="-4"/>
                            <w:sz w:val="18"/>
                          </w:rPr>
                          <w:t> </w:t>
                        </w:r>
                        <w:r>
                          <w:rPr>
                            <w:rFonts w:ascii="Arial" w:hAnsi="Arial"/>
                            <w:b/>
                            <w:i/>
                            <w:spacing w:val="-5"/>
                            <w:sz w:val="18"/>
                          </w:rPr>
                          <w:t>05</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7"/>
        <w:rPr>
          <w:rFonts w:ascii="Times New Roman"/>
        </w:rPr>
      </w:pPr>
    </w:p>
    <w:p>
      <w:pPr>
        <w:pStyle w:val="BodyText"/>
        <w:ind w:left="264"/>
        <w:rPr>
          <w:rFonts w:ascii="Times New Roman"/>
        </w:rPr>
      </w:pPr>
      <w:r>
        <w:rPr>
          <w:rFonts w:ascii="Times New Roman"/>
        </w:rPr>
        <mc:AlternateContent>
          <mc:Choice Requires="wps">
            <w:drawing>
              <wp:inline distT="0" distB="0" distL="0" distR="0">
                <wp:extent cx="6676390" cy="1605280"/>
                <wp:effectExtent l="0" t="0" r="0" b="4444"/>
                <wp:docPr id="5" name="Group 5"/>
                <wp:cNvGraphicFramePr>
                  <a:graphicFrameLocks/>
                </wp:cNvGraphicFramePr>
                <a:graphic>
                  <a:graphicData uri="http://schemas.microsoft.com/office/word/2010/wordprocessingGroup">
                    <wpg:wgp>
                      <wpg:cNvPr id="5" name="Group 5"/>
                      <wpg:cNvGrpSpPr/>
                      <wpg:grpSpPr>
                        <a:xfrm>
                          <a:off x="0" y="0"/>
                          <a:ext cx="6676390" cy="1605280"/>
                          <a:chExt cx="6676390" cy="1605280"/>
                        </a:xfrm>
                      </wpg:grpSpPr>
                      <pic:pic>
                        <pic:nvPicPr>
                          <pic:cNvPr id="6" name="Image 6"/>
                          <pic:cNvPicPr/>
                        </pic:nvPicPr>
                        <pic:blipFill>
                          <a:blip r:embed="rId7" cstate="print"/>
                          <a:stretch>
                            <a:fillRect/>
                          </a:stretch>
                        </pic:blipFill>
                        <pic:spPr>
                          <a:xfrm>
                            <a:off x="0" y="0"/>
                            <a:ext cx="6676390" cy="1605279"/>
                          </a:xfrm>
                          <a:prstGeom prst="rect">
                            <a:avLst/>
                          </a:prstGeom>
                        </pic:spPr>
                      </pic:pic>
                      <wps:wsp>
                        <wps:cNvPr id="7" name="Textbox 7"/>
                        <wps:cNvSpPr txBox="1"/>
                        <wps:spPr>
                          <a:xfrm>
                            <a:off x="0" y="0"/>
                            <a:ext cx="6676390" cy="1605280"/>
                          </a:xfrm>
                          <a:prstGeom prst="rect">
                            <a:avLst/>
                          </a:prstGeom>
                        </wps:spPr>
                        <wps:txbx>
                          <w:txbxContent>
                            <w:p>
                              <w:pPr>
                                <w:spacing w:line="268" w:lineRule="auto" w:before="186"/>
                                <w:ind w:left="172" w:right="153"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maio de 2025. As informações aqui apresentadas não constituem, todavia, o resumo oficial da decisão proferida pelo Tribunal nem representam, necessariamente, o posicionamento prevalente do TCE. O objetivo é facilitar ao interessado o acompanhamento dos acórdãos mais importantes do Tribunal. Para aprofundamento, o leitor pode acessar o inteiro teor das deliberações clicando em cima do número do processo.</w:t>
                              </w:r>
                            </w:p>
                          </w:txbxContent>
                        </wps:txbx>
                        <wps:bodyPr wrap="square" lIns="0" tIns="0" rIns="0" bIns="0" rtlCol="0">
                          <a:noAutofit/>
                        </wps:bodyPr>
                      </wps:wsp>
                    </wpg:wgp>
                  </a:graphicData>
                </a:graphic>
              </wp:inline>
            </w:drawing>
          </mc:Choice>
          <mc:Fallback>
            <w:pict>
              <v:group style="width:525.7pt;height:126.4pt;mso-position-horizontal-relative:char;mso-position-vertical-relative:line" id="docshapegroup4" coordorigin="0,0" coordsize="10514,2528">
                <v:shape style="position:absolute;left:0;top:0;width:10514;height:2528" type="#_x0000_t75" id="docshape5" stroked="false">
                  <v:imagedata r:id="rId7" o:title=""/>
                </v:shape>
                <v:shape style="position:absolute;left:0;top:0;width:10514;height:2528" type="#_x0000_t202" id="docshape6" filled="false" stroked="false">
                  <v:textbox inset="0,0,0,0">
                    <w:txbxContent>
                      <w:p>
                        <w:pPr>
                          <w:spacing w:line="268" w:lineRule="auto" w:before="186"/>
                          <w:ind w:left="172" w:right="153"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maio de 2025. As informações aqui apresentadas não constituem, todavia, o resumo oficial da decisão proferida pelo Tribunal nem representam, necessariamente, o posicionamento prevalente do TCE. O objetivo é facilitar ao interessado o acompanhamento dos acórdãos mais importantes do Tribunal. Para aprofundamento, o leitor pode acessar o inteiro teor das deliberações clicando em cima do número do processo.</w:t>
                        </w:r>
                      </w:p>
                    </w:txbxContent>
                  </v:textbox>
                  <w10:wrap type="none"/>
                </v:shape>
              </v:group>
            </w:pict>
          </mc:Fallback>
        </mc:AlternateContent>
      </w:r>
      <w:r>
        <w:rPr>
          <w:rFonts w:ascii="Times New Roman"/>
        </w:rPr>
      </w:r>
    </w:p>
    <w:p>
      <w:pPr>
        <w:pStyle w:val="BodyText"/>
        <w:spacing w:before="30"/>
        <w:rPr>
          <w:rFonts w:ascii="Times New Roman"/>
        </w:rPr>
      </w:pPr>
      <w:r>
        <w:rPr>
          <w:rFonts w:ascii="Times New Roman"/>
        </w:rPr>
        <mc:AlternateContent>
          <mc:Choice Requires="wps">
            <w:drawing>
              <wp:anchor distT="0" distB="0" distL="0" distR="0" allowOverlap="1" layoutInCell="1" locked="0" behindDoc="1" simplePos="0" relativeHeight="487588352">
                <wp:simplePos x="0" y="0"/>
                <wp:positionH relativeFrom="page">
                  <wp:posOffset>390525</wp:posOffset>
                </wp:positionH>
                <wp:positionV relativeFrom="paragraph">
                  <wp:posOffset>180339</wp:posOffset>
                </wp:positionV>
                <wp:extent cx="6736080" cy="41402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736080" cy="414020"/>
                          <a:chExt cx="6736080" cy="414020"/>
                        </a:xfrm>
                      </wpg:grpSpPr>
                      <pic:pic>
                        <pic:nvPicPr>
                          <pic:cNvPr id="9" name="Image 9"/>
                          <pic:cNvPicPr/>
                        </pic:nvPicPr>
                        <pic:blipFill>
                          <a:blip r:embed="rId8" cstate="print"/>
                          <a:stretch>
                            <a:fillRect/>
                          </a:stretch>
                        </pic:blipFill>
                        <pic:spPr>
                          <a:xfrm>
                            <a:off x="0" y="0"/>
                            <a:ext cx="6735721" cy="414020"/>
                          </a:xfrm>
                          <a:prstGeom prst="rect">
                            <a:avLst/>
                          </a:prstGeom>
                        </pic:spPr>
                      </pic:pic>
                      <wps:wsp>
                        <wps:cNvPr id="10" name="Textbox 10"/>
                        <wps:cNvSpPr txBox="1"/>
                        <wps:spPr>
                          <a:xfrm>
                            <a:off x="0" y="0"/>
                            <a:ext cx="6736080" cy="414020"/>
                          </a:xfrm>
                          <a:prstGeom prst="rect">
                            <a:avLst/>
                          </a:prstGeom>
                        </wps:spPr>
                        <wps:txbx>
                          <w:txbxContent>
                            <w:p>
                              <w:pPr>
                                <w:spacing w:before="194"/>
                                <w:ind w:left="66"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3632/2025</w:t>
                              </w:r>
                            </w:p>
                          </w:txbxContent>
                        </wps:txbx>
                        <wps:bodyPr wrap="square" lIns="0" tIns="0" rIns="0" bIns="0" rtlCol="0">
                          <a:noAutofit/>
                        </wps:bodyPr>
                      </wps:wsp>
                    </wpg:wgp>
                  </a:graphicData>
                </a:graphic>
              </wp:anchor>
            </w:drawing>
          </mc:Choice>
          <mc:Fallback>
            <w:pict>
              <v:group style="position:absolute;margin-left:30.75pt;margin-top:14.2pt;width:530.4pt;height:32.6pt;mso-position-horizontal-relative:page;mso-position-vertical-relative:paragraph;z-index:-15728128;mso-wrap-distance-left:0;mso-wrap-distance-right:0" id="docshapegroup7" coordorigin="615,284" coordsize="10608,652">
                <v:shape style="position:absolute;left:615;top:284;width:10608;height:652" type="#_x0000_t75" id="docshape8" stroked="false">
                  <v:imagedata r:id="rId8" o:title=""/>
                </v:shape>
                <v:shape style="position:absolute;left:615;top:284;width:10608;height:652" type="#_x0000_t202" id="docshape9" filled="false" stroked="false">
                  <v:textbox inset="0,0,0,0">
                    <w:txbxContent>
                      <w:p>
                        <w:pPr>
                          <w:spacing w:before="194"/>
                          <w:ind w:left="66"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3632/2025</w:t>
                        </w:r>
                      </w:p>
                    </w:txbxContent>
                  </v:textbox>
                  <w10:wrap type="none"/>
                </v:shape>
                <w10:wrap type="topAndBottom"/>
              </v:group>
            </w:pict>
          </mc:Fallback>
        </mc:AlternateContent>
      </w:r>
    </w:p>
    <w:p>
      <w:pPr>
        <w:pStyle w:val="Heading1"/>
        <w:spacing w:before="210"/>
      </w:pPr>
      <w:r>
        <w:rPr/>
        <w:t>TOMADA DE CONTAS ESPECIAL. SUBCONTRATAÇÃO DE SERVIÇOS. LIMPEZA URBANA. TERMO DE EXECUÇÃO DELEGADA. EMPRESA ESTATAL. TAXA DE ADMINISTRAÇÃO. PAGAMENTO INDEVIDO. IRREGULARIDADE. DÉBITO SOLIDÁRIO. MULTA.</w:t>
      </w:r>
    </w:p>
    <w:p>
      <w:pPr>
        <w:pStyle w:val="BodyText"/>
        <w:spacing w:before="1"/>
        <w:rPr>
          <w:rFonts w:ascii="Arial"/>
          <w:b/>
          <w:sz w:val="24"/>
        </w:rPr>
      </w:pPr>
    </w:p>
    <w:p>
      <w:pPr>
        <w:pStyle w:val="BodyText"/>
        <w:ind w:left="157" w:right="37"/>
        <w:jc w:val="both"/>
      </w:pPr>
      <w:r>
        <w:rPr/>
        <w:t>Em caso de subcontratação total do objeto, o pagamento de taxa de administração à empresa estatal que atuou apenas como intermediária na prestação dos serviços é irregularidade ensejadora de débito, o qual corresponde à diferença entre os pagamentos recebidos pela estatal e os valores por ela pagos na subcontratação integral.</w:t>
      </w:r>
    </w:p>
    <w:p>
      <w:pPr>
        <w:spacing w:before="207"/>
        <w:ind w:left="157" w:right="0" w:firstLine="0"/>
        <w:jc w:val="both"/>
        <w:rPr>
          <w:sz w:val="18"/>
        </w:rPr>
      </w:pPr>
      <w:r>
        <w:rPr>
          <w:sz w:val="18"/>
        </w:rPr>
        <w:t>Processo</w:t>
      </w:r>
      <w:r>
        <w:rPr>
          <w:spacing w:val="-4"/>
          <w:sz w:val="18"/>
        </w:rPr>
        <w:t> </w:t>
      </w:r>
      <w:r>
        <w:rPr>
          <w:sz w:val="18"/>
        </w:rPr>
        <w:t>n.º</w:t>
      </w:r>
      <w:r>
        <w:rPr>
          <w:spacing w:val="-3"/>
          <w:sz w:val="18"/>
        </w:rPr>
        <w:t> </w:t>
      </w:r>
      <w:r>
        <w:rPr>
          <w:sz w:val="18"/>
        </w:rPr>
        <w:t>11172/2023-9.</w:t>
      </w:r>
      <w:r>
        <w:rPr>
          <w:spacing w:val="44"/>
          <w:sz w:val="18"/>
        </w:rPr>
        <w:t>  </w:t>
      </w:r>
      <w:r>
        <w:rPr>
          <w:sz w:val="18"/>
        </w:rPr>
        <w:t>Relator(a):</w:t>
      </w:r>
      <w:r>
        <w:rPr>
          <w:spacing w:val="-3"/>
          <w:sz w:val="18"/>
        </w:rPr>
        <w:t> </w:t>
      </w:r>
      <w:r>
        <w:rPr>
          <w:sz w:val="18"/>
        </w:rPr>
        <w:t>Cons.</w:t>
      </w:r>
      <w:r>
        <w:rPr>
          <w:spacing w:val="-3"/>
          <w:sz w:val="18"/>
        </w:rPr>
        <w:t> </w:t>
      </w:r>
      <w:r>
        <w:rPr>
          <w:sz w:val="18"/>
        </w:rPr>
        <w:t>Soraia</w:t>
      </w:r>
      <w:r>
        <w:rPr>
          <w:spacing w:val="-2"/>
          <w:sz w:val="18"/>
        </w:rPr>
        <w:t> </w:t>
      </w:r>
      <w:r>
        <w:rPr>
          <w:sz w:val="18"/>
        </w:rPr>
        <w:t>Victor.</w:t>
      </w:r>
      <w:r>
        <w:rPr>
          <w:spacing w:val="44"/>
          <w:sz w:val="18"/>
        </w:rPr>
        <w:t>  </w:t>
      </w:r>
      <w:r>
        <w:rPr>
          <w:sz w:val="18"/>
        </w:rPr>
        <w:t>Sessão</w:t>
      </w:r>
      <w:r>
        <w:rPr>
          <w:spacing w:val="-2"/>
          <w:sz w:val="18"/>
        </w:rPr>
        <w:t> </w:t>
      </w:r>
      <w:r>
        <w:rPr>
          <w:sz w:val="18"/>
        </w:rPr>
        <w:t>Pleno</w:t>
      </w:r>
      <w:r>
        <w:rPr>
          <w:spacing w:val="-3"/>
          <w:sz w:val="18"/>
        </w:rPr>
        <w:t> </w:t>
      </w:r>
      <w:r>
        <w:rPr>
          <w:sz w:val="18"/>
        </w:rPr>
        <w:t>Virtual</w:t>
      </w:r>
      <w:r>
        <w:rPr>
          <w:spacing w:val="-4"/>
          <w:sz w:val="18"/>
        </w:rPr>
        <w:t> </w:t>
      </w:r>
      <w:r>
        <w:rPr>
          <w:sz w:val="18"/>
        </w:rPr>
        <w:t>de</w:t>
      </w:r>
      <w:r>
        <w:rPr>
          <w:spacing w:val="-3"/>
          <w:sz w:val="18"/>
        </w:rPr>
        <w:t> </w:t>
      </w:r>
      <w:r>
        <w:rPr>
          <w:sz w:val="18"/>
        </w:rPr>
        <w:t>26/05/2025.</w:t>
      </w:r>
      <w:r>
        <w:rPr>
          <w:spacing w:val="45"/>
          <w:sz w:val="18"/>
        </w:rPr>
        <w:t>  </w:t>
      </w:r>
      <w:r>
        <w:rPr>
          <w:sz w:val="18"/>
        </w:rPr>
        <w:t>Ata</w:t>
      </w:r>
      <w:r>
        <w:rPr>
          <w:spacing w:val="-3"/>
          <w:sz w:val="18"/>
        </w:rPr>
        <w:t> </w:t>
      </w:r>
      <w:r>
        <w:rPr>
          <w:sz w:val="18"/>
        </w:rPr>
        <w:t>n.º</w:t>
      </w:r>
      <w:r>
        <w:rPr>
          <w:spacing w:val="-3"/>
          <w:sz w:val="18"/>
        </w:rPr>
        <w:t> </w:t>
      </w:r>
      <w:r>
        <w:rPr>
          <w:sz w:val="18"/>
        </w:rPr>
        <w:t>234.</w:t>
      </w:r>
      <w:r>
        <w:rPr>
          <w:spacing w:val="44"/>
          <w:sz w:val="18"/>
        </w:rPr>
        <w:t>  </w:t>
      </w:r>
      <w:r>
        <w:rPr>
          <w:sz w:val="18"/>
        </w:rPr>
        <w:t>DO:</w:t>
      </w:r>
      <w:r>
        <w:rPr>
          <w:spacing w:val="-3"/>
          <w:sz w:val="18"/>
        </w:rPr>
        <w:t> </w:t>
      </w:r>
      <w:r>
        <w:rPr>
          <w:spacing w:val="-2"/>
          <w:sz w:val="18"/>
        </w:rPr>
        <w:t>25/06/2025.</w:t>
      </w:r>
    </w:p>
    <w:p>
      <w:pPr>
        <w:pStyle w:val="BodyText"/>
        <w:spacing w:before="2"/>
        <w:rPr>
          <w:sz w:val="11"/>
        </w:rPr>
      </w:pPr>
      <w:r>
        <w:rPr>
          <w:sz w:val="11"/>
        </w:rPr>
        <mc:AlternateContent>
          <mc:Choice Requires="wps">
            <w:drawing>
              <wp:anchor distT="0" distB="0" distL="0" distR="0" allowOverlap="1" layoutInCell="1" locked="0" behindDoc="1" simplePos="0" relativeHeight="487588864">
                <wp:simplePos x="0" y="0"/>
                <wp:positionH relativeFrom="page">
                  <wp:posOffset>349250</wp:posOffset>
                </wp:positionH>
                <wp:positionV relativeFrom="paragraph">
                  <wp:posOffset>97262</wp:posOffset>
                </wp:positionV>
                <wp:extent cx="6824345" cy="454025"/>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824345" cy="454025"/>
                          <a:chExt cx="6824345" cy="454025"/>
                        </a:xfrm>
                      </wpg:grpSpPr>
                      <pic:pic>
                        <pic:nvPicPr>
                          <pic:cNvPr id="12" name="Image 12"/>
                          <pic:cNvPicPr/>
                        </pic:nvPicPr>
                        <pic:blipFill>
                          <a:blip r:embed="rId9" cstate="print"/>
                          <a:stretch>
                            <a:fillRect/>
                          </a:stretch>
                        </pic:blipFill>
                        <pic:spPr>
                          <a:xfrm>
                            <a:off x="0" y="0"/>
                            <a:ext cx="6824345" cy="454025"/>
                          </a:xfrm>
                          <a:prstGeom prst="rect">
                            <a:avLst/>
                          </a:prstGeom>
                        </pic:spPr>
                      </pic:pic>
                      <wps:wsp>
                        <wps:cNvPr id="13" name="Textbox 13"/>
                        <wps:cNvSpPr txBox="1"/>
                        <wps:spPr>
                          <a:xfrm>
                            <a:off x="0" y="0"/>
                            <a:ext cx="6824345" cy="454025"/>
                          </a:xfrm>
                          <a:prstGeom prst="rect">
                            <a:avLst/>
                          </a:prstGeom>
                        </wps:spPr>
                        <wps:txbx>
                          <w:txbxContent>
                            <w:p>
                              <w:pPr>
                                <w:spacing w:line="240" w:lineRule="auto" w:before="7"/>
                                <w:rPr>
                                  <w:sz w:val="22"/>
                                </w:rPr>
                              </w:pPr>
                            </w:p>
                            <w:p>
                              <w:pPr>
                                <w:spacing w:before="0"/>
                                <w:ind w:left="57"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3361/2025</w:t>
                              </w:r>
                            </w:p>
                          </w:txbxContent>
                        </wps:txbx>
                        <wps:bodyPr wrap="square" lIns="0" tIns="0" rIns="0" bIns="0" rtlCol="0">
                          <a:noAutofit/>
                        </wps:bodyPr>
                      </wps:wsp>
                    </wpg:wgp>
                  </a:graphicData>
                </a:graphic>
              </wp:anchor>
            </w:drawing>
          </mc:Choice>
          <mc:Fallback>
            <w:pict>
              <v:group style="position:absolute;margin-left:27.5pt;margin-top:7.658496pt;width:537.35pt;height:35.75pt;mso-position-horizontal-relative:page;mso-position-vertical-relative:paragraph;z-index:-15727616;mso-wrap-distance-left:0;mso-wrap-distance-right:0" id="docshapegroup10" coordorigin="550,153" coordsize="10747,715">
                <v:shape style="position:absolute;left:550;top:153;width:10747;height:715" type="#_x0000_t75" id="docshape11" stroked="false">
                  <v:imagedata r:id="rId9" o:title=""/>
                </v:shape>
                <v:shape style="position:absolute;left:550;top:153;width:10747;height:715" type="#_x0000_t202" id="docshape12" filled="false" stroked="false">
                  <v:textbox inset="0,0,0,0">
                    <w:txbxContent>
                      <w:p>
                        <w:pPr>
                          <w:spacing w:line="240" w:lineRule="auto" w:before="7"/>
                          <w:rPr>
                            <w:sz w:val="22"/>
                          </w:rPr>
                        </w:pPr>
                      </w:p>
                      <w:p>
                        <w:pPr>
                          <w:spacing w:before="0"/>
                          <w:ind w:left="57"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3361/2025</w:t>
                        </w:r>
                      </w:p>
                    </w:txbxContent>
                  </v:textbox>
                  <w10:wrap type="none"/>
                </v:shape>
                <w10:wrap type="topAndBottom"/>
              </v:group>
            </w:pict>
          </mc:Fallback>
        </mc:AlternateContent>
      </w:r>
    </w:p>
    <w:p>
      <w:pPr>
        <w:pStyle w:val="Heading1"/>
        <w:spacing w:before="235"/>
      </w:pPr>
      <w:r>
        <w:rPr/>
        <w:t>TOMADA DE CONTAS ESPECIAL. RPPS. CONTRIBUIÇÃO PREVIDENCIÁRIA. REPASSE. DÍVIDA PREVIDENCIÁRIA. ACORDO PREVIDENCIÁRIO. PAGAMENTO INTEMPESTIVO. INCIDÊNCIA DE JUROS E MULTA. DANO AO ERÁRIO. DÉBITO. RESPONSABILIDADE GESTOR. PREFEITO.</w:t>
      </w:r>
    </w:p>
    <w:p>
      <w:pPr>
        <w:pStyle w:val="BodyText"/>
        <w:spacing w:before="207"/>
        <w:ind w:left="157" w:right="20"/>
        <w:jc w:val="both"/>
      </w:pPr>
      <w:r>
        <w:rPr/>
        <w:t>Tomada de Contas Especial, originária de Representação feita em razão de comunicação ao TCE/CE imputando ao então prefeito, supostas irregularidades relacionadas ao não pagamento integral das contribuições previdenciárias patronais,</w:t>
      </w:r>
      <w:r>
        <w:rPr>
          <w:spacing w:val="-2"/>
        </w:rPr>
        <w:t> </w:t>
      </w:r>
      <w:r>
        <w:rPr/>
        <w:t>bem</w:t>
      </w:r>
      <w:r>
        <w:rPr>
          <w:spacing w:val="-3"/>
        </w:rPr>
        <w:t> </w:t>
      </w:r>
      <w:r>
        <w:rPr/>
        <w:t>como</w:t>
      </w:r>
      <w:r>
        <w:rPr>
          <w:spacing w:val="-2"/>
        </w:rPr>
        <w:t> </w:t>
      </w:r>
      <w:r>
        <w:rPr/>
        <w:t>o</w:t>
      </w:r>
      <w:r>
        <w:rPr>
          <w:spacing w:val="-3"/>
        </w:rPr>
        <w:t> </w:t>
      </w:r>
      <w:r>
        <w:rPr/>
        <w:t>descumprimento</w:t>
      </w:r>
      <w:r>
        <w:rPr>
          <w:spacing w:val="-2"/>
        </w:rPr>
        <w:t> </w:t>
      </w:r>
      <w:r>
        <w:rPr/>
        <w:t>de</w:t>
      </w:r>
      <w:r>
        <w:rPr>
          <w:spacing w:val="-3"/>
        </w:rPr>
        <w:t> </w:t>
      </w:r>
      <w:r>
        <w:rPr/>
        <w:t>pagamento</w:t>
      </w:r>
      <w:r>
        <w:rPr>
          <w:spacing w:val="-2"/>
        </w:rPr>
        <w:t> </w:t>
      </w:r>
      <w:r>
        <w:rPr/>
        <w:t>de</w:t>
      </w:r>
      <w:r>
        <w:rPr>
          <w:spacing w:val="-3"/>
        </w:rPr>
        <w:t> </w:t>
      </w:r>
      <w:r>
        <w:rPr/>
        <w:t>parcelamentos</w:t>
      </w:r>
      <w:r>
        <w:rPr>
          <w:spacing w:val="-4"/>
        </w:rPr>
        <w:t> </w:t>
      </w:r>
      <w:r>
        <w:rPr/>
        <w:t>de</w:t>
      </w:r>
      <w:r>
        <w:rPr>
          <w:spacing w:val="-3"/>
        </w:rPr>
        <w:t> </w:t>
      </w:r>
      <w:r>
        <w:rPr/>
        <w:t>dívidas</w:t>
      </w:r>
      <w:r>
        <w:rPr>
          <w:spacing w:val="-2"/>
        </w:rPr>
        <w:t> </w:t>
      </w:r>
      <w:r>
        <w:rPr/>
        <w:t>previdenciárias.</w:t>
      </w:r>
      <w:r>
        <w:rPr>
          <w:spacing w:val="-2"/>
        </w:rPr>
        <w:t> </w:t>
      </w:r>
      <w:r>
        <w:rPr/>
        <w:t>O</w:t>
      </w:r>
      <w:r>
        <w:rPr>
          <w:spacing w:val="-4"/>
        </w:rPr>
        <w:t> </w:t>
      </w:r>
      <w:r>
        <w:rPr/>
        <w:t>cerne</w:t>
      </w:r>
      <w:r>
        <w:rPr>
          <w:spacing w:val="-2"/>
        </w:rPr>
        <w:t> </w:t>
      </w:r>
      <w:r>
        <w:rPr/>
        <w:t>desta</w:t>
      </w:r>
      <w:r>
        <w:rPr>
          <w:spacing w:val="-3"/>
        </w:rPr>
        <w:t> </w:t>
      </w:r>
      <w:r>
        <w:rPr/>
        <w:t>TCE foi o suposto dano ao erário causado em virtude do pagamento de juros pelo descumprimento de acordos previdenciários. O atraso no recolhimento das contribuições previdenciárias pode resultar na aplicação de acréscimos que</w:t>
      </w:r>
      <w:r>
        <w:rPr>
          <w:spacing w:val="-1"/>
        </w:rPr>
        <w:t> </w:t>
      </w:r>
      <w:r>
        <w:rPr/>
        <w:t>incluem juros e</w:t>
      </w:r>
      <w:r>
        <w:rPr>
          <w:spacing w:val="-1"/>
        </w:rPr>
        <w:t> </w:t>
      </w:r>
      <w:r>
        <w:rPr/>
        <w:t>multas,</w:t>
      </w:r>
      <w:r>
        <w:rPr>
          <w:spacing w:val="-1"/>
        </w:rPr>
        <w:t> </w:t>
      </w:r>
      <w:r>
        <w:rPr/>
        <w:t>sendo essas</w:t>
      </w:r>
      <w:r>
        <w:rPr>
          <w:spacing w:val="-1"/>
        </w:rPr>
        <w:t> </w:t>
      </w:r>
      <w:r>
        <w:rPr/>
        <w:t>despesas possíveis ensejadoras de</w:t>
      </w:r>
      <w:r>
        <w:rPr>
          <w:spacing w:val="-1"/>
        </w:rPr>
        <w:t> </w:t>
      </w:r>
      <w:r>
        <w:rPr/>
        <w:t>dano ao</w:t>
      </w:r>
      <w:r>
        <w:rPr>
          <w:spacing w:val="-1"/>
        </w:rPr>
        <w:t> </w:t>
      </w:r>
      <w:r>
        <w:rPr/>
        <w:t>erário. Porém, para se</w:t>
      </w:r>
      <w:r>
        <w:rPr>
          <w:spacing w:val="-1"/>
        </w:rPr>
        <w:t> </w:t>
      </w:r>
      <w:r>
        <w:rPr/>
        <w:t>concretizar o dano, deve haver a incidência de juros ou multa nas parcelas não pagas tempestivamente. Por não ser identificado, tampouco quantificado a existência de pagamento de multa e juros, que configure prejuízo ao erário, não cabe imputar débito ao gestor. O de pagamento com multa e juros das parcela de dívidas previdenciárias ocorreu em razão de o</w:t>
      </w:r>
      <w:r>
        <w:rPr>
          <w:spacing w:val="40"/>
        </w:rPr>
        <w:t> </w:t>
      </w:r>
      <w:r>
        <w:rPr/>
        <w:t>então</w:t>
      </w:r>
      <w:r>
        <w:rPr>
          <w:spacing w:val="-3"/>
        </w:rPr>
        <w:t> </w:t>
      </w:r>
      <w:r>
        <w:rPr/>
        <w:t>prefeito</w:t>
      </w:r>
      <w:r>
        <w:rPr>
          <w:spacing w:val="-3"/>
        </w:rPr>
        <w:t> </w:t>
      </w:r>
      <w:r>
        <w:rPr/>
        <w:t>não</w:t>
      </w:r>
      <w:r>
        <w:rPr>
          <w:spacing w:val="-3"/>
        </w:rPr>
        <w:t> </w:t>
      </w:r>
      <w:r>
        <w:rPr/>
        <w:t>ter</w:t>
      </w:r>
      <w:r>
        <w:rPr>
          <w:spacing w:val="-2"/>
        </w:rPr>
        <w:t> </w:t>
      </w:r>
      <w:r>
        <w:rPr/>
        <w:t>respeitado</w:t>
      </w:r>
      <w:r>
        <w:rPr>
          <w:spacing w:val="-3"/>
        </w:rPr>
        <w:t> </w:t>
      </w:r>
      <w:r>
        <w:rPr/>
        <w:t>a</w:t>
      </w:r>
      <w:r>
        <w:rPr>
          <w:spacing w:val="-2"/>
        </w:rPr>
        <w:t> </w:t>
      </w:r>
      <w:r>
        <w:rPr/>
        <w:t>data</w:t>
      </w:r>
      <w:r>
        <w:rPr>
          <w:spacing w:val="-3"/>
        </w:rPr>
        <w:t> </w:t>
      </w:r>
      <w:r>
        <w:rPr/>
        <w:t>de</w:t>
      </w:r>
      <w:r>
        <w:rPr>
          <w:spacing w:val="-3"/>
        </w:rPr>
        <w:t> </w:t>
      </w:r>
      <w:r>
        <w:rPr/>
        <w:t>vencimento</w:t>
      </w:r>
      <w:r>
        <w:rPr>
          <w:spacing w:val="-3"/>
        </w:rPr>
        <w:t> </w:t>
      </w:r>
      <w:r>
        <w:rPr/>
        <w:t>das</w:t>
      </w:r>
      <w:r>
        <w:rPr>
          <w:spacing w:val="-1"/>
        </w:rPr>
        <w:t> </w:t>
      </w:r>
      <w:r>
        <w:rPr/>
        <w:t>parcelas</w:t>
      </w:r>
      <w:r>
        <w:rPr>
          <w:spacing w:val="-3"/>
        </w:rPr>
        <w:t> </w:t>
      </w:r>
      <w:r>
        <w:rPr/>
        <w:t>relativas</w:t>
      </w:r>
      <w:r>
        <w:rPr>
          <w:spacing w:val="-3"/>
        </w:rPr>
        <w:t> </w:t>
      </w:r>
      <w:r>
        <w:rPr/>
        <w:t>aos</w:t>
      </w:r>
      <w:r>
        <w:rPr>
          <w:spacing w:val="-3"/>
        </w:rPr>
        <w:t> </w:t>
      </w:r>
      <w:r>
        <w:rPr/>
        <w:t>acordos</w:t>
      </w:r>
      <w:r>
        <w:rPr>
          <w:spacing w:val="-3"/>
        </w:rPr>
        <w:t> </w:t>
      </w:r>
      <w:r>
        <w:rPr/>
        <w:t>previdenciários,</w:t>
      </w:r>
      <w:r>
        <w:rPr>
          <w:spacing w:val="-3"/>
        </w:rPr>
        <w:t> </w:t>
      </w:r>
      <w:r>
        <w:rPr/>
        <w:t>configurando- se afronta ao princípio da eficência e mau uso do dinheiro público, carcterizando dano ao erário. O Pleno Virtual do Tribunal de Contas do Estado do Ceará, por maioria de votos, julgou Irregular a presente Tomada de Contas Especial, em razão do pagamento de juros e multas pelo descumprimento de prazo das parcelas dos acordos previdenciários. Imputou débito ao gestor, pelo montante de juros e multas pagos, em razão do atraso na quitação das parcelas do acordo previdenciário.</w:t>
      </w:r>
    </w:p>
    <w:p>
      <w:pPr>
        <w:spacing w:before="207"/>
        <w:ind w:left="157" w:right="0" w:firstLine="0"/>
        <w:jc w:val="both"/>
        <w:rPr>
          <w:sz w:val="18"/>
        </w:rPr>
      </w:pPr>
      <w:r>
        <w:rPr>
          <w:sz w:val="18"/>
        </w:rPr>
        <w:t>Processo</w:t>
      </w:r>
      <w:r>
        <w:rPr>
          <w:spacing w:val="-7"/>
          <w:sz w:val="18"/>
        </w:rPr>
        <w:t> </w:t>
      </w:r>
      <w:r>
        <w:rPr>
          <w:sz w:val="18"/>
        </w:rPr>
        <w:t>n.º</w:t>
      </w:r>
      <w:r>
        <w:rPr>
          <w:spacing w:val="-5"/>
          <w:sz w:val="18"/>
        </w:rPr>
        <w:t> </w:t>
      </w:r>
      <w:r>
        <w:rPr>
          <w:sz w:val="18"/>
        </w:rPr>
        <w:t>13436/2020-6.</w:t>
      </w:r>
      <w:r>
        <w:rPr>
          <w:spacing w:val="42"/>
          <w:sz w:val="18"/>
        </w:rPr>
        <w:t> </w:t>
      </w:r>
      <w:r>
        <w:rPr>
          <w:sz w:val="18"/>
        </w:rPr>
        <w:t>Relator(a):</w:t>
      </w:r>
      <w:r>
        <w:rPr>
          <w:spacing w:val="-4"/>
          <w:sz w:val="18"/>
        </w:rPr>
        <w:t> </w:t>
      </w:r>
      <w:r>
        <w:rPr>
          <w:sz w:val="18"/>
        </w:rPr>
        <w:t>Cons.</w:t>
      </w:r>
      <w:r>
        <w:rPr>
          <w:spacing w:val="-5"/>
          <w:sz w:val="18"/>
        </w:rPr>
        <w:t> </w:t>
      </w:r>
      <w:r>
        <w:rPr>
          <w:sz w:val="18"/>
        </w:rPr>
        <w:t>Valdomiro</w:t>
      </w:r>
      <w:r>
        <w:rPr>
          <w:spacing w:val="-3"/>
          <w:sz w:val="18"/>
        </w:rPr>
        <w:t> </w:t>
      </w:r>
      <w:r>
        <w:rPr>
          <w:sz w:val="18"/>
        </w:rPr>
        <w:t>Távora.</w:t>
      </w:r>
      <w:r>
        <w:rPr>
          <w:spacing w:val="42"/>
          <w:sz w:val="18"/>
        </w:rPr>
        <w:t> </w:t>
      </w:r>
      <w:r>
        <w:rPr>
          <w:sz w:val="18"/>
        </w:rPr>
        <w:t>Sessão</w:t>
      </w:r>
      <w:r>
        <w:rPr>
          <w:spacing w:val="-4"/>
          <w:sz w:val="18"/>
        </w:rPr>
        <w:t> </w:t>
      </w:r>
      <w:r>
        <w:rPr>
          <w:sz w:val="18"/>
        </w:rPr>
        <w:t>Pleno</w:t>
      </w:r>
      <w:r>
        <w:rPr>
          <w:spacing w:val="-5"/>
          <w:sz w:val="18"/>
        </w:rPr>
        <w:t> </w:t>
      </w:r>
      <w:r>
        <w:rPr>
          <w:sz w:val="18"/>
        </w:rPr>
        <w:t>Virtual</w:t>
      </w:r>
      <w:r>
        <w:rPr>
          <w:spacing w:val="-3"/>
          <w:sz w:val="18"/>
        </w:rPr>
        <w:t> </w:t>
      </w:r>
      <w:r>
        <w:rPr>
          <w:sz w:val="18"/>
        </w:rPr>
        <w:t>de</w:t>
      </w:r>
      <w:r>
        <w:rPr>
          <w:spacing w:val="-4"/>
          <w:sz w:val="18"/>
        </w:rPr>
        <w:t> </w:t>
      </w:r>
      <w:r>
        <w:rPr>
          <w:sz w:val="18"/>
        </w:rPr>
        <w:t>26/05/2025.</w:t>
      </w:r>
      <w:r>
        <w:rPr>
          <w:spacing w:val="42"/>
          <w:sz w:val="18"/>
        </w:rPr>
        <w:t> </w:t>
      </w:r>
      <w:r>
        <w:rPr>
          <w:sz w:val="18"/>
        </w:rPr>
        <w:t>Ata</w:t>
      </w:r>
      <w:r>
        <w:rPr>
          <w:spacing w:val="-5"/>
          <w:sz w:val="18"/>
        </w:rPr>
        <w:t> </w:t>
      </w:r>
      <w:r>
        <w:rPr>
          <w:sz w:val="18"/>
        </w:rPr>
        <w:t>n.º</w:t>
      </w:r>
      <w:r>
        <w:rPr>
          <w:spacing w:val="-5"/>
          <w:sz w:val="18"/>
        </w:rPr>
        <w:t> </w:t>
      </w:r>
      <w:r>
        <w:rPr>
          <w:sz w:val="18"/>
        </w:rPr>
        <w:t>234.</w:t>
      </w:r>
      <w:r>
        <w:rPr>
          <w:spacing w:val="44"/>
          <w:sz w:val="18"/>
        </w:rPr>
        <w:t> </w:t>
      </w:r>
      <w:r>
        <w:rPr>
          <w:sz w:val="18"/>
        </w:rPr>
        <w:t>DO:</w:t>
      </w:r>
      <w:r>
        <w:rPr>
          <w:spacing w:val="-4"/>
          <w:sz w:val="18"/>
        </w:rPr>
        <w:t> </w:t>
      </w:r>
      <w:r>
        <w:rPr>
          <w:spacing w:val="-2"/>
          <w:sz w:val="18"/>
        </w:rPr>
        <w:t>25/06/2025.</w:t>
      </w:r>
    </w:p>
    <w:p>
      <w:pPr>
        <w:spacing w:after="0"/>
        <w:jc w:val="both"/>
        <w:rPr>
          <w:sz w:val="18"/>
        </w:rPr>
        <w:sectPr>
          <w:footerReference w:type="default" r:id="rId5"/>
          <w:type w:val="continuous"/>
          <w:pgSz w:w="11910" w:h="16840"/>
          <w:pgMar w:header="0" w:footer="761" w:top="0" w:bottom="960" w:left="425" w:right="566"/>
          <w:pgNumType w:start="1"/>
        </w:sectPr>
      </w:pPr>
    </w:p>
    <w:p>
      <w:pPr>
        <w:pStyle w:val="BodyText"/>
        <w:rPr>
          <w:sz w:val="24"/>
        </w:rPr>
      </w:pPr>
    </w:p>
    <w:p>
      <w:pPr>
        <w:pStyle w:val="BodyText"/>
        <w:rPr>
          <w:sz w:val="24"/>
        </w:rPr>
      </w:pPr>
    </w:p>
    <w:p>
      <w:pPr>
        <w:pStyle w:val="BodyText"/>
        <w:spacing w:before="31"/>
        <w:rPr>
          <w:sz w:val="24"/>
        </w:rPr>
      </w:pPr>
    </w:p>
    <w:p>
      <w:pPr>
        <w:pStyle w:val="Heading1"/>
        <w:ind w:right="26"/>
      </w:pPr>
      <w:r>
        <w:rPr/>
        <mc:AlternateContent>
          <mc:Choice Requires="wps">
            <w:drawing>
              <wp:anchor distT="0" distB="0" distL="0" distR="0" allowOverlap="1" layoutInCell="1" locked="0" behindDoc="0" simplePos="0" relativeHeight="15731200">
                <wp:simplePos x="0" y="0"/>
                <wp:positionH relativeFrom="page">
                  <wp:posOffset>366395</wp:posOffset>
                </wp:positionH>
                <wp:positionV relativeFrom="paragraph">
                  <wp:posOffset>-540835</wp:posOffset>
                </wp:positionV>
                <wp:extent cx="6824345" cy="432434"/>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824345" cy="432434"/>
                          <a:chExt cx="6824345" cy="432434"/>
                        </a:xfrm>
                      </wpg:grpSpPr>
                      <pic:pic>
                        <pic:nvPicPr>
                          <pic:cNvPr id="15" name="Image 15"/>
                          <pic:cNvPicPr/>
                        </pic:nvPicPr>
                        <pic:blipFill>
                          <a:blip r:embed="rId9" cstate="print"/>
                          <a:stretch>
                            <a:fillRect/>
                          </a:stretch>
                        </pic:blipFill>
                        <pic:spPr>
                          <a:xfrm>
                            <a:off x="0" y="0"/>
                            <a:ext cx="6824345" cy="432434"/>
                          </a:xfrm>
                          <a:prstGeom prst="rect">
                            <a:avLst/>
                          </a:prstGeom>
                        </pic:spPr>
                      </pic:pic>
                      <wps:wsp>
                        <wps:cNvPr id="16" name="Textbox 16"/>
                        <wps:cNvSpPr txBox="1"/>
                        <wps:spPr>
                          <a:xfrm>
                            <a:off x="0" y="0"/>
                            <a:ext cx="6824345" cy="432434"/>
                          </a:xfrm>
                          <a:prstGeom prst="rect">
                            <a:avLst/>
                          </a:prstGeom>
                        </wps:spPr>
                        <wps:txbx>
                          <w:txbxContent>
                            <w:p>
                              <w:pPr>
                                <w:spacing w:before="184"/>
                                <w:ind w:left="57" w:right="54"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2853/2025</w:t>
                              </w:r>
                            </w:p>
                          </w:txbxContent>
                        </wps:txbx>
                        <wps:bodyPr wrap="square" lIns="0" tIns="0" rIns="0" bIns="0" rtlCol="0">
                          <a:noAutofit/>
                        </wps:bodyPr>
                      </wps:wsp>
                    </wpg:wgp>
                  </a:graphicData>
                </a:graphic>
              </wp:anchor>
            </w:drawing>
          </mc:Choice>
          <mc:Fallback>
            <w:pict>
              <v:group style="position:absolute;margin-left:28.85pt;margin-top:-42.585484pt;width:537.35pt;height:34.050pt;mso-position-horizontal-relative:page;mso-position-vertical-relative:paragraph;z-index:15731200" id="docshapegroup13" coordorigin="577,-852" coordsize="10747,681">
                <v:shape style="position:absolute;left:577;top:-852;width:10747;height:681" type="#_x0000_t75" id="docshape14" stroked="false">
                  <v:imagedata r:id="rId9" o:title=""/>
                </v:shape>
                <v:shape style="position:absolute;left:577;top:-852;width:10747;height:681" type="#_x0000_t202" id="docshape15" filled="false" stroked="false">
                  <v:textbox inset="0,0,0,0">
                    <w:txbxContent>
                      <w:p>
                        <w:pPr>
                          <w:spacing w:before="184"/>
                          <w:ind w:left="57" w:right="54"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2853/2025</w:t>
                        </w:r>
                      </w:p>
                    </w:txbxContent>
                  </v:textbox>
                  <w10:wrap type="none"/>
                </v:shape>
                <w10:wrap type="none"/>
              </v:group>
            </w:pict>
          </mc:Fallback>
        </mc:AlternateContent>
      </w:r>
      <w:r>
        <w:rPr/>
        <w:t>CONSULTA. VEREADOR. LICENCIAMENTO. AFASTAMENTO. PODER EXECUTIVO. REMUNERAÇÃO. REPASSE DUODÉCIMO. VEREADOR SUPLENTE. POSSIBILIDADE.</w:t>
      </w:r>
    </w:p>
    <w:p>
      <w:pPr>
        <w:pStyle w:val="BodyText"/>
        <w:spacing w:before="231"/>
        <w:ind w:left="157" w:right="30"/>
        <w:jc w:val="both"/>
      </w:pPr>
      <w:r>
        <w:rPr/>
        <w:t>Consulta versa sobre a possibilidade de licenciamento/afastamento de vereadores, legítimos detentores de mandato no Legislativo Municipal, para o</w:t>
      </w:r>
      <w:r>
        <w:rPr>
          <w:spacing w:val="-2"/>
        </w:rPr>
        <w:t> </w:t>
      </w:r>
      <w:r>
        <w:rPr/>
        <w:t>exercício de cargo de Secretário Municipal, sem a</w:t>
      </w:r>
      <w:r>
        <w:rPr>
          <w:spacing w:val="-2"/>
        </w:rPr>
        <w:t> </w:t>
      </w:r>
      <w:r>
        <w:rPr/>
        <w:t>perda</w:t>
      </w:r>
      <w:r>
        <w:rPr>
          <w:spacing w:val="-2"/>
        </w:rPr>
        <w:t> </w:t>
      </w:r>
      <w:r>
        <w:rPr/>
        <w:t>do</w:t>
      </w:r>
      <w:r>
        <w:rPr>
          <w:spacing w:val="-2"/>
        </w:rPr>
        <w:t> </w:t>
      </w:r>
      <w:r>
        <w:rPr/>
        <w:t>mandato. Na</w:t>
      </w:r>
      <w:r>
        <w:rPr>
          <w:spacing w:val="-2"/>
        </w:rPr>
        <w:t> </w:t>
      </w:r>
      <w:r>
        <w:rPr/>
        <w:t>presente consulta questionou-se: 1) O Poder Executivo Municipal teria a obrigação de acrescer o valor da remuneração paga ao vereador licenciado/afastado no repasse do duodécimo para o Poder Legislativo Municipal? 2) Na hipótese de licença/afastamento, haverá a convocação de seu suplente. No caso hipotético, caberá à Câmara Municipal, por intermédio do duodécimo, arcar com o pagamento integral do subsídio do vereador licenciado/afastado e do suplente? Considerando a análise da legislação constitucional aplicável e a jurisprudência de outros Tribunais de Contas, como TCE-MG, TCM-BA, e TCE-PI, conclui-se pela possibilidade de o vereador licenciar-se para ocupar cargo de secretário municipal, podendo optar pela remuneração do mandato eletivo, desde que haja expressa previsão na Lei Orgânica Municipal, em observância ao princípio da simetria (Arts. 56, I, § 3º da CF/88 e Art. 54, I, § 3º da Constituição Estadual)</w:t>
      </w:r>
      <w:r>
        <w:rPr>
          <w:spacing w:val="40"/>
        </w:rPr>
        <w:t> </w:t>
      </w:r>
      <w:r>
        <w:rPr/>
        <w:t>e à autonomia municipal (Art. 29, IX da CF/88). Embora haja casos em outros tribunais, como o TCE/GO, que firmaram entendimento no sentido de atribuir ao poder executivo o ônus de arcar com o subsídio do vereador que ocupa o cargo de secretário, a interpretação que mais se alinha com o disposto nos artigos 56, inciso I, § 3º, e 29-A da CF/88,</w:t>
      </w:r>
      <w:r>
        <w:rPr>
          <w:spacing w:val="40"/>
        </w:rPr>
        <w:t> </w:t>
      </w:r>
      <w:r>
        <w:rPr/>
        <w:t>conforme o relatório de instrução, é a de que a responsabilidade pelo pagamento do vereador licenciado que opta pelo subsídio do cargo eletivo recai, em regra, sobre a Câmara Municipal, salvo se a Lei Orgânica Municipal dispuser de forma diversa, atribuindo a responsabilidade ao Poder Executivo ou estabelecendo outra forma de compensação. O Pleno Virtual do Tribunal de Contas do Estado do Ceará, por unanimidade dos votos: 1. Julgou pelo conhecimento da presente consulta, face ao preenchimento dos requisitos de admissibilidade; 2. Respondeu, quanto ao mérito, nos seguintes termos: 2.1) É possível que um vereador se licencie do mandato eletivo para exercer o cargo de secretário municipal, optando pela remuneração do cargo eletivo, desde que haja previsão expressa na Lei</w:t>
      </w:r>
      <w:r>
        <w:rPr>
          <w:spacing w:val="-1"/>
        </w:rPr>
        <w:t> </w:t>
      </w:r>
      <w:r>
        <w:rPr/>
        <w:t>Orgânica do município, nos moldes do art. 56, inciso I, § 3º,</w:t>
      </w:r>
      <w:r>
        <w:rPr>
          <w:spacing w:val="-1"/>
        </w:rPr>
        <w:t> </w:t>
      </w:r>
      <w:r>
        <w:rPr/>
        <w:t>da</w:t>
      </w:r>
      <w:r>
        <w:rPr>
          <w:spacing w:val="-1"/>
        </w:rPr>
        <w:t> </w:t>
      </w:r>
      <w:r>
        <w:rPr/>
        <w:t>CF/88, e</w:t>
      </w:r>
      <w:r>
        <w:rPr>
          <w:spacing w:val="-1"/>
        </w:rPr>
        <w:t> </w:t>
      </w:r>
      <w:r>
        <w:rPr/>
        <w:t>do</w:t>
      </w:r>
      <w:r>
        <w:rPr>
          <w:spacing w:val="-1"/>
        </w:rPr>
        <w:t> </w:t>
      </w:r>
      <w:r>
        <w:rPr/>
        <w:t>art. 54, inciso</w:t>
      </w:r>
      <w:r>
        <w:rPr>
          <w:spacing w:val="-1"/>
        </w:rPr>
        <w:t> </w:t>
      </w:r>
      <w:r>
        <w:rPr/>
        <w:t>I, §</w:t>
      </w:r>
      <w:r>
        <w:rPr>
          <w:spacing w:val="-1"/>
        </w:rPr>
        <w:t> </w:t>
      </w:r>
      <w:r>
        <w:rPr/>
        <w:t>3º,</w:t>
      </w:r>
      <w:r>
        <w:rPr>
          <w:spacing w:val="-1"/>
        </w:rPr>
        <w:t> </w:t>
      </w:r>
      <w:r>
        <w:rPr/>
        <w:t>da</w:t>
      </w:r>
      <w:r>
        <w:rPr>
          <w:spacing w:val="-1"/>
        </w:rPr>
        <w:t> </w:t>
      </w:r>
      <w:r>
        <w:rPr/>
        <w:t>Constituição</w:t>
      </w:r>
      <w:r>
        <w:rPr>
          <w:spacing w:val="-1"/>
        </w:rPr>
        <w:t> </w:t>
      </w:r>
      <w:r>
        <w:rPr/>
        <w:t>do</w:t>
      </w:r>
      <w:r>
        <w:rPr>
          <w:spacing w:val="-1"/>
        </w:rPr>
        <w:t> </w:t>
      </w:r>
      <w:r>
        <w:rPr/>
        <w:t>Estado do</w:t>
      </w:r>
      <w:r>
        <w:rPr>
          <w:spacing w:val="-1"/>
        </w:rPr>
        <w:t> </w:t>
      </w:r>
      <w:r>
        <w:rPr/>
        <w:t>Ceará. 2.2) Caso o agente político opte pela remuneração parlamentar, o pagamento do subsídio devido ao vereador licenciado para exercer o cargo de secretário será, em regra, integralmente de responsabilidade da Câmara Municipal, não cabendo ao Poder Executivo recompor qualquer valor, salvo disposição em contrário prevista na Lei Orgânica; e 2.3) O vereador suplente, convocado em virtude do licenciamento tratado no item anterior, terá seu subsídio pago pela Câmara Municipal, nos termos do art. 29-A, caput, da CF/88.</w:t>
      </w:r>
    </w:p>
    <w:p>
      <w:pPr>
        <w:spacing w:before="208"/>
        <w:ind w:left="157" w:right="0" w:firstLine="0"/>
        <w:jc w:val="both"/>
        <w:rPr>
          <w:sz w:val="18"/>
        </w:rPr>
      </w:pPr>
      <w:r>
        <w:rPr>
          <w:sz w:val="18"/>
        </w:rPr>
        <mc:AlternateContent>
          <mc:Choice Requires="wps">
            <w:drawing>
              <wp:anchor distT="0" distB="0" distL="0" distR="0" allowOverlap="1" layoutInCell="1" locked="0" behindDoc="0" simplePos="0" relativeHeight="15730688">
                <wp:simplePos x="0" y="0"/>
                <wp:positionH relativeFrom="page">
                  <wp:posOffset>366395</wp:posOffset>
                </wp:positionH>
                <wp:positionV relativeFrom="paragraph">
                  <wp:posOffset>380266</wp:posOffset>
                </wp:positionV>
                <wp:extent cx="6824345" cy="432434"/>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824345" cy="432434"/>
                          <a:chExt cx="6824345" cy="432434"/>
                        </a:xfrm>
                      </wpg:grpSpPr>
                      <pic:pic>
                        <pic:nvPicPr>
                          <pic:cNvPr id="18" name="Image 18"/>
                          <pic:cNvPicPr/>
                        </pic:nvPicPr>
                        <pic:blipFill>
                          <a:blip r:embed="rId9" cstate="print"/>
                          <a:stretch>
                            <a:fillRect/>
                          </a:stretch>
                        </pic:blipFill>
                        <pic:spPr>
                          <a:xfrm>
                            <a:off x="0" y="0"/>
                            <a:ext cx="6824345" cy="432434"/>
                          </a:xfrm>
                          <a:prstGeom prst="rect">
                            <a:avLst/>
                          </a:prstGeom>
                        </pic:spPr>
                      </pic:pic>
                      <wps:wsp>
                        <wps:cNvPr id="19" name="Textbox 19"/>
                        <wps:cNvSpPr txBox="1"/>
                        <wps:spPr>
                          <a:xfrm>
                            <a:off x="0" y="0"/>
                            <a:ext cx="6824345" cy="432434"/>
                          </a:xfrm>
                          <a:prstGeom prst="rect">
                            <a:avLst/>
                          </a:prstGeom>
                        </wps:spPr>
                        <wps:txbx>
                          <w:txbxContent>
                            <w:p>
                              <w:pPr>
                                <w:spacing w:before="229"/>
                                <w:ind w:left="57" w:right="54"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3615/2025</w:t>
                              </w:r>
                            </w:p>
                          </w:txbxContent>
                        </wps:txbx>
                        <wps:bodyPr wrap="square" lIns="0" tIns="0" rIns="0" bIns="0" rtlCol="0">
                          <a:noAutofit/>
                        </wps:bodyPr>
                      </wps:wsp>
                    </wpg:wgp>
                  </a:graphicData>
                </a:graphic>
              </wp:anchor>
            </w:drawing>
          </mc:Choice>
          <mc:Fallback>
            <w:pict>
              <v:group style="position:absolute;margin-left:28.85pt;margin-top:29.942249pt;width:537.35pt;height:34.050pt;mso-position-horizontal-relative:page;mso-position-vertical-relative:paragraph;z-index:15730688" id="docshapegroup16" coordorigin="577,599" coordsize="10747,681">
                <v:shape style="position:absolute;left:577;top:598;width:10747;height:681" type="#_x0000_t75" id="docshape17" stroked="false">
                  <v:imagedata r:id="rId9" o:title=""/>
                </v:shape>
                <v:shape style="position:absolute;left:577;top:598;width:10747;height:681" type="#_x0000_t202" id="docshape18" filled="false" stroked="false">
                  <v:textbox inset="0,0,0,0">
                    <w:txbxContent>
                      <w:p>
                        <w:pPr>
                          <w:spacing w:before="229"/>
                          <w:ind w:left="57" w:right="54"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3615/2025</w:t>
                        </w:r>
                      </w:p>
                    </w:txbxContent>
                  </v:textbox>
                  <w10:wrap type="none"/>
                </v:shape>
                <w10:wrap type="none"/>
              </v:group>
            </w:pict>
          </mc:Fallback>
        </mc:AlternateContent>
      </w:r>
      <w:r>
        <w:rPr>
          <w:sz w:val="18"/>
        </w:rPr>
        <w:t>Processo</w:t>
      </w:r>
      <w:r>
        <w:rPr>
          <w:spacing w:val="-4"/>
          <w:sz w:val="18"/>
        </w:rPr>
        <w:t> </w:t>
      </w:r>
      <w:r>
        <w:rPr>
          <w:sz w:val="18"/>
        </w:rPr>
        <w:t>n.º</w:t>
      </w:r>
      <w:r>
        <w:rPr>
          <w:spacing w:val="-3"/>
          <w:sz w:val="18"/>
        </w:rPr>
        <w:t> </w:t>
      </w:r>
      <w:r>
        <w:rPr>
          <w:sz w:val="18"/>
        </w:rPr>
        <w:t>03133/2025-6.</w:t>
      </w:r>
      <w:r>
        <w:rPr>
          <w:spacing w:val="69"/>
          <w:sz w:val="18"/>
        </w:rPr>
        <w:t>  </w:t>
      </w:r>
      <w:r>
        <w:rPr>
          <w:sz w:val="18"/>
        </w:rPr>
        <w:t>Relator(a):</w:t>
      </w:r>
      <w:r>
        <w:rPr>
          <w:spacing w:val="-2"/>
          <w:sz w:val="18"/>
        </w:rPr>
        <w:t> </w:t>
      </w:r>
      <w:r>
        <w:rPr>
          <w:sz w:val="18"/>
        </w:rPr>
        <w:t>Cons.</w:t>
      </w:r>
      <w:r>
        <w:rPr>
          <w:spacing w:val="-3"/>
          <w:sz w:val="18"/>
        </w:rPr>
        <w:t> </w:t>
      </w:r>
      <w:r>
        <w:rPr>
          <w:sz w:val="18"/>
        </w:rPr>
        <w:t>Ernesto</w:t>
      </w:r>
      <w:r>
        <w:rPr>
          <w:spacing w:val="-2"/>
          <w:sz w:val="18"/>
        </w:rPr>
        <w:t> </w:t>
      </w:r>
      <w:r>
        <w:rPr>
          <w:sz w:val="18"/>
        </w:rPr>
        <w:t>Saboia.</w:t>
      </w:r>
      <w:r>
        <w:rPr>
          <w:spacing w:val="69"/>
          <w:sz w:val="18"/>
        </w:rPr>
        <w:t>  </w:t>
      </w:r>
      <w:r>
        <w:rPr>
          <w:sz w:val="18"/>
        </w:rPr>
        <w:t>Sessão</w:t>
      </w:r>
      <w:r>
        <w:rPr>
          <w:spacing w:val="-2"/>
          <w:sz w:val="18"/>
        </w:rPr>
        <w:t> </w:t>
      </w:r>
      <w:r>
        <w:rPr>
          <w:sz w:val="18"/>
        </w:rPr>
        <w:t>Virtual</w:t>
      </w:r>
      <w:r>
        <w:rPr>
          <w:spacing w:val="-3"/>
          <w:sz w:val="18"/>
        </w:rPr>
        <w:t> </w:t>
      </w:r>
      <w:r>
        <w:rPr>
          <w:sz w:val="18"/>
        </w:rPr>
        <w:t>de</w:t>
      </w:r>
      <w:r>
        <w:rPr>
          <w:spacing w:val="-4"/>
          <w:sz w:val="18"/>
        </w:rPr>
        <w:t> </w:t>
      </w:r>
      <w:r>
        <w:rPr>
          <w:sz w:val="18"/>
        </w:rPr>
        <w:t>05/05/2025.</w:t>
      </w:r>
      <w:r>
        <w:rPr>
          <w:spacing w:val="73"/>
          <w:sz w:val="18"/>
        </w:rPr>
        <w:t>  </w:t>
      </w:r>
      <w:r>
        <w:rPr>
          <w:sz w:val="18"/>
        </w:rPr>
        <w:t>Ata</w:t>
      </w:r>
      <w:r>
        <w:rPr>
          <w:spacing w:val="-2"/>
          <w:sz w:val="18"/>
        </w:rPr>
        <w:t> </w:t>
      </w:r>
      <w:r>
        <w:rPr>
          <w:sz w:val="18"/>
        </w:rPr>
        <w:t>n.º</w:t>
      </w:r>
      <w:r>
        <w:rPr>
          <w:spacing w:val="-3"/>
          <w:sz w:val="18"/>
        </w:rPr>
        <w:t> </w:t>
      </w:r>
      <w:r>
        <w:rPr>
          <w:sz w:val="18"/>
        </w:rPr>
        <w:t>232.</w:t>
      </w:r>
      <w:r>
        <w:rPr>
          <w:spacing w:val="70"/>
          <w:sz w:val="18"/>
        </w:rPr>
        <w:t>  </w:t>
      </w:r>
      <w:r>
        <w:rPr>
          <w:sz w:val="18"/>
        </w:rPr>
        <w:t>DO:</w:t>
      </w:r>
      <w:r>
        <w:rPr>
          <w:spacing w:val="-3"/>
          <w:sz w:val="18"/>
        </w:rPr>
        <w:t> </w:t>
      </w:r>
      <w:r>
        <w:rPr>
          <w:spacing w:val="-2"/>
          <w:sz w:val="18"/>
        </w:rPr>
        <w:t>27/05/2025.</w:t>
      </w:r>
    </w:p>
    <w:p>
      <w:pPr>
        <w:pStyle w:val="BodyText"/>
        <w:rPr>
          <w:sz w:val="24"/>
        </w:rPr>
      </w:pPr>
    </w:p>
    <w:p>
      <w:pPr>
        <w:pStyle w:val="BodyText"/>
        <w:rPr>
          <w:sz w:val="24"/>
        </w:rPr>
      </w:pPr>
    </w:p>
    <w:p>
      <w:pPr>
        <w:pStyle w:val="BodyText"/>
        <w:spacing w:before="252"/>
        <w:rPr>
          <w:sz w:val="24"/>
        </w:rPr>
      </w:pPr>
    </w:p>
    <w:p>
      <w:pPr>
        <w:pStyle w:val="Heading1"/>
        <w:spacing w:before="1"/>
        <w:ind w:right="25"/>
      </w:pPr>
      <w:r>
        <w:rPr/>
        <w:t>CONSULTA. ICMS. PERDA DE ARRECADAÇÃO. RECEITA DE COMPENSAÇÃO. REPASSE. BASE DE CÁLCULO. PODER EXECUTIVO. PODER LEGISLATIVO. DUODÉCIMO. </w:t>
      </w:r>
      <w:r>
        <w:rPr>
          <w:spacing w:val="-2"/>
        </w:rPr>
        <w:t>POSSIBILIDADE.</w:t>
      </w:r>
    </w:p>
    <w:p>
      <w:pPr>
        <w:pStyle w:val="BodyText"/>
        <w:spacing w:before="207"/>
        <w:ind w:left="157" w:right="28"/>
        <w:jc w:val="both"/>
      </w:pPr>
      <w:r>
        <w:rPr/>
        <w:t>Consulta acerca da possibilidade das receitas de compensação devidas pela União, decorrentes de perdas na arrecadação de ICMS integrarem a base de cálculo dos repasses financeiros aos poderes legislativos municipais. O Pleno Virtual</w:t>
      </w:r>
      <w:r>
        <w:rPr>
          <w:spacing w:val="-3"/>
        </w:rPr>
        <w:t> </w:t>
      </w:r>
      <w:r>
        <w:rPr/>
        <w:t>do</w:t>
      </w:r>
      <w:r>
        <w:rPr>
          <w:spacing w:val="-2"/>
        </w:rPr>
        <w:t> </w:t>
      </w:r>
      <w:r>
        <w:rPr/>
        <w:t>Tribunal</w:t>
      </w:r>
      <w:r>
        <w:rPr>
          <w:spacing w:val="-3"/>
        </w:rPr>
        <w:t> </w:t>
      </w:r>
      <w:r>
        <w:rPr/>
        <w:t>de</w:t>
      </w:r>
      <w:r>
        <w:rPr>
          <w:spacing w:val="-1"/>
        </w:rPr>
        <w:t> </w:t>
      </w:r>
      <w:r>
        <w:rPr/>
        <w:t>Contas do</w:t>
      </w:r>
      <w:r>
        <w:rPr>
          <w:spacing w:val="-2"/>
        </w:rPr>
        <w:t> </w:t>
      </w:r>
      <w:r>
        <w:rPr/>
        <w:t>Estado do</w:t>
      </w:r>
      <w:r>
        <w:rPr>
          <w:spacing w:val="-2"/>
        </w:rPr>
        <w:t> </w:t>
      </w:r>
      <w:r>
        <w:rPr/>
        <w:t>Ceará,</w:t>
      </w:r>
      <w:r>
        <w:rPr>
          <w:spacing w:val="-2"/>
        </w:rPr>
        <w:t> </w:t>
      </w:r>
      <w:r>
        <w:rPr/>
        <w:t>por</w:t>
      </w:r>
      <w:r>
        <w:rPr>
          <w:spacing w:val="-3"/>
        </w:rPr>
        <w:t> </w:t>
      </w:r>
      <w:r>
        <w:rPr/>
        <w:t>unanimidade</w:t>
      </w:r>
      <w:r>
        <w:rPr>
          <w:spacing w:val="-2"/>
        </w:rPr>
        <w:t> </w:t>
      </w:r>
      <w:r>
        <w:rPr/>
        <w:t>de</w:t>
      </w:r>
      <w:r>
        <w:rPr>
          <w:spacing w:val="-2"/>
        </w:rPr>
        <w:t> </w:t>
      </w:r>
      <w:r>
        <w:rPr/>
        <w:t>votos,</w:t>
      </w:r>
      <w:r>
        <w:rPr>
          <w:spacing w:val="-2"/>
        </w:rPr>
        <w:t> </w:t>
      </w:r>
      <w:r>
        <w:rPr/>
        <w:t>respondeu</w:t>
      </w:r>
      <w:r>
        <w:rPr>
          <w:spacing w:val="-2"/>
        </w:rPr>
        <w:t> </w:t>
      </w:r>
      <w:r>
        <w:rPr/>
        <w:t>à</w:t>
      </w:r>
      <w:r>
        <w:rPr>
          <w:spacing w:val="-1"/>
        </w:rPr>
        <w:t> </w:t>
      </w:r>
      <w:r>
        <w:rPr/>
        <w:t>consulta</w:t>
      </w:r>
      <w:r>
        <w:rPr>
          <w:spacing w:val="-2"/>
        </w:rPr>
        <w:t> </w:t>
      </w:r>
      <w:r>
        <w:rPr/>
        <w:t>nos seguintes termos: - As receitas derivadas das compensações à perda de arrecadação de ICMS, previstas no art. 1º, incisos I, II e III, da Lei Complementar n.º 201/2023, compõem a base de cálculo dos repasses financeiros do Executivo municipal às Câmaras Municipais (duodécimo), respeitados os limites máximos de despesas previstos no art. 29-A da CRFB/1988.</w:t>
      </w:r>
    </w:p>
    <w:p>
      <w:pPr>
        <w:spacing w:before="207"/>
        <w:ind w:left="157" w:right="0" w:firstLine="0"/>
        <w:jc w:val="both"/>
        <w:rPr>
          <w:sz w:val="18"/>
        </w:rPr>
      </w:pPr>
      <w:r>
        <w:rPr>
          <w:sz w:val="18"/>
        </w:rPr>
        <w:t>Processo</w:t>
      </w:r>
      <w:r>
        <w:rPr>
          <w:spacing w:val="-3"/>
          <w:sz w:val="18"/>
        </w:rPr>
        <w:t> </w:t>
      </w:r>
      <w:r>
        <w:rPr>
          <w:sz w:val="18"/>
        </w:rPr>
        <w:t>n.º</w:t>
      </w:r>
      <w:r>
        <w:rPr>
          <w:spacing w:val="-2"/>
          <w:sz w:val="18"/>
        </w:rPr>
        <w:t> </w:t>
      </w:r>
      <w:r>
        <w:rPr>
          <w:sz w:val="18"/>
        </w:rPr>
        <w:t>14676/2024-4.</w:t>
      </w:r>
      <w:r>
        <w:rPr>
          <w:spacing w:val="69"/>
          <w:w w:val="150"/>
          <w:sz w:val="18"/>
        </w:rPr>
        <w:t>  </w:t>
      </w:r>
      <w:r>
        <w:rPr>
          <w:sz w:val="18"/>
        </w:rPr>
        <w:t>Relator(a):</w:t>
      </w:r>
      <w:r>
        <w:rPr>
          <w:spacing w:val="-2"/>
          <w:sz w:val="18"/>
        </w:rPr>
        <w:t> </w:t>
      </w:r>
      <w:r>
        <w:rPr>
          <w:sz w:val="18"/>
        </w:rPr>
        <w:t>Cons.</w:t>
      </w:r>
      <w:r>
        <w:rPr>
          <w:spacing w:val="-2"/>
          <w:sz w:val="18"/>
        </w:rPr>
        <w:t> </w:t>
      </w:r>
      <w:r>
        <w:rPr>
          <w:sz w:val="18"/>
        </w:rPr>
        <w:t>Soraia</w:t>
      </w:r>
      <w:r>
        <w:rPr>
          <w:spacing w:val="-1"/>
          <w:sz w:val="18"/>
        </w:rPr>
        <w:t> </w:t>
      </w:r>
      <w:r>
        <w:rPr>
          <w:sz w:val="18"/>
        </w:rPr>
        <w:t>Victor.</w:t>
      </w:r>
      <w:r>
        <w:rPr>
          <w:spacing w:val="69"/>
          <w:w w:val="150"/>
          <w:sz w:val="18"/>
        </w:rPr>
        <w:t>  </w:t>
      </w:r>
      <w:r>
        <w:rPr>
          <w:sz w:val="18"/>
        </w:rPr>
        <w:t>Sessão</w:t>
      </w:r>
      <w:r>
        <w:rPr>
          <w:spacing w:val="-3"/>
          <w:sz w:val="18"/>
        </w:rPr>
        <w:t> </w:t>
      </w:r>
      <w:r>
        <w:rPr>
          <w:sz w:val="18"/>
        </w:rPr>
        <w:t>Virtual</w:t>
      </w:r>
      <w:r>
        <w:rPr>
          <w:spacing w:val="-2"/>
          <w:sz w:val="18"/>
        </w:rPr>
        <w:t> </w:t>
      </w:r>
      <w:r>
        <w:rPr>
          <w:sz w:val="18"/>
        </w:rPr>
        <w:t>de</w:t>
      </w:r>
      <w:r>
        <w:rPr>
          <w:spacing w:val="-3"/>
          <w:sz w:val="18"/>
        </w:rPr>
        <w:t> </w:t>
      </w:r>
      <w:r>
        <w:rPr>
          <w:sz w:val="18"/>
        </w:rPr>
        <w:t>19/05/2025.</w:t>
      </w:r>
      <w:r>
        <w:rPr>
          <w:spacing w:val="69"/>
          <w:w w:val="150"/>
          <w:sz w:val="18"/>
        </w:rPr>
        <w:t>  </w:t>
      </w:r>
      <w:r>
        <w:rPr>
          <w:sz w:val="18"/>
        </w:rPr>
        <w:t>Ata</w:t>
      </w:r>
      <w:r>
        <w:rPr>
          <w:spacing w:val="-2"/>
          <w:sz w:val="18"/>
        </w:rPr>
        <w:t> </w:t>
      </w:r>
      <w:r>
        <w:rPr>
          <w:sz w:val="18"/>
        </w:rPr>
        <w:t>n.º</w:t>
      </w:r>
      <w:r>
        <w:rPr>
          <w:spacing w:val="-2"/>
          <w:sz w:val="18"/>
        </w:rPr>
        <w:t> </w:t>
      </w:r>
      <w:r>
        <w:rPr>
          <w:sz w:val="18"/>
        </w:rPr>
        <w:t>233.</w:t>
      </w:r>
      <w:r>
        <w:rPr>
          <w:spacing w:val="68"/>
          <w:w w:val="150"/>
          <w:sz w:val="18"/>
        </w:rPr>
        <w:t>  </w:t>
      </w:r>
      <w:r>
        <w:rPr>
          <w:spacing w:val="-2"/>
          <w:sz w:val="18"/>
        </w:rPr>
        <w:t>DO:05/06/2025.</w:t>
      </w:r>
    </w:p>
    <w:sectPr>
      <w:pgSz w:w="11910" w:h="16840"/>
      <w:pgMar w:header="0" w:footer="761" w:top="1920" w:bottom="960" w:left="42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32032">
          <wp:simplePos x="0" y="0"/>
          <wp:positionH relativeFrom="page">
            <wp:posOffset>17779</wp:posOffset>
          </wp:positionH>
          <wp:positionV relativeFrom="page">
            <wp:posOffset>10081904</wp:posOffset>
          </wp:positionV>
          <wp:extent cx="7541259" cy="5822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41259" cy="582295"/>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ind w:left="157" w:right="27"/>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2025-10-06T13:58:47Z</dcterms:created>
  <dcterms:modified xsi:type="dcterms:W3CDTF">2025-10-06T13:58:47Z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Writer</vt:lpwstr>
  </property>
  <property fmtid="{D5CDD505-2E9C-101B-9397-08002B2CF9AE}" pid="4" name="Producer">
    <vt:lpwstr>LibreOffice 6.3</vt:lpwstr>
  </property>
  <property fmtid="{D5CDD505-2E9C-101B-9397-08002B2CF9AE}" pid="5" name="LastSaved">
    <vt:filetime>2025-08-06T00:00:00Z</vt:filetime>
  </property>
</Properties>
</file>