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635</wp:posOffset>
                </wp:positionH>
                <wp:positionV relativeFrom="page">
                  <wp:posOffset>9</wp:posOffset>
                </wp:positionV>
                <wp:extent cx="7559040" cy="162496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24965"/>
                          <a:chExt cx="7559040" cy="1624965"/>
                        </a:xfrm>
                      </wpg:grpSpPr>
                      <pic:pic>
                        <pic:nvPicPr>
                          <pic:cNvPr id="3" name="Image 3"/>
                          <pic:cNvPicPr/>
                        </pic:nvPicPr>
                        <pic:blipFill>
                          <a:blip r:embed="rId6" cstate="print"/>
                          <a:stretch>
                            <a:fillRect/>
                          </a:stretch>
                        </pic:blipFill>
                        <pic:spPr>
                          <a:xfrm>
                            <a:off x="0" y="0"/>
                            <a:ext cx="7559040" cy="1609725"/>
                          </a:xfrm>
                          <a:prstGeom prst="rect">
                            <a:avLst/>
                          </a:prstGeom>
                        </pic:spPr>
                      </pic:pic>
                      <wps:wsp>
                        <wps:cNvPr id="4" name="Textbox 4"/>
                        <wps:cNvSpPr txBox="1"/>
                        <wps:spPr>
                          <a:xfrm>
                            <a:off x="4418723" y="1471327"/>
                            <a:ext cx="1801495"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3"/>
                                  <w:sz w:val="18"/>
                                </w:rPr>
                                <w:t> </w:t>
                              </w:r>
                              <w:r>
                                <w:rPr>
                                  <w:rFonts w:ascii="Arial" w:hAnsi="Arial"/>
                                  <w:b/>
                                  <w:i/>
                                  <w:sz w:val="18"/>
                                </w:rPr>
                                <w:t>(CE),</w:t>
                              </w:r>
                              <w:r>
                                <w:rPr>
                                  <w:rFonts w:ascii="Arial" w:hAnsi="Arial"/>
                                  <w:b/>
                                  <w:i/>
                                  <w:spacing w:val="-3"/>
                                  <w:sz w:val="18"/>
                                </w:rPr>
                                <w:t> </w:t>
                              </w:r>
                              <w:r>
                                <w:rPr>
                                  <w:rFonts w:ascii="Arial" w:hAnsi="Arial"/>
                                  <w:b/>
                                  <w:i/>
                                  <w:sz w:val="18"/>
                                </w:rPr>
                                <w:t>Ano</w:t>
                              </w:r>
                              <w:r>
                                <w:rPr>
                                  <w:rFonts w:ascii="Arial" w:hAnsi="Arial"/>
                                  <w:b/>
                                  <w:i/>
                                  <w:spacing w:val="-3"/>
                                  <w:sz w:val="18"/>
                                </w:rPr>
                                <w:t> </w:t>
                              </w:r>
                              <w:r>
                                <w:rPr>
                                  <w:rFonts w:ascii="Arial" w:hAnsi="Arial"/>
                                  <w:b/>
                                  <w:i/>
                                  <w:sz w:val="18"/>
                                </w:rPr>
                                <w:t>2025</w:t>
                              </w:r>
                              <w:r>
                                <w:rPr>
                                  <w:rFonts w:ascii="Arial" w:hAnsi="Arial"/>
                                  <w:b/>
                                  <w:i/>
                                  <w:spacing w:val="-3"/>
                                  <w:sz w:val="18"/>
                                </w:rPr>
                                <w:t> </w:t>
                              </w:r>
                              <w:r>
                                <w:rPr>
                                  <w:rFonts w:ascii="Arial" w:hAnsi="Arial"/>
                                  <w:b/>
                                  <w:i/>
                                  <w:sz w:val="18"/>
                                </w:rPr>
                                <w:t>–</w:t>
                              </w:r>
                              <w:r>
                                <w:rPr>
                                  <w:rFonts w:ascii="Arial" w:hAnsi="Arial"/>
                                  <w:b/>
                                  <w:i/>
                                  <w:spacing w:val="-3"/>
                                  <w:sz w:val="18"/>
                                </w:rPr>
                                <w:t> </w:t>
                              </w:r>
                              <w:r>
                                <w:rPr>
                                  <w:rFonts w:ascii="Arial" w:hAnsi="Arial"/>
                                  <w:b/>
                                  <w:i/>
                                  <w:sz w:val="18"/>
                                </w:rPr>
                                <w:t>Nº</w:t>
                              </w:r>
                              <w:r>
                                <w:rPr>
                                  <w:rFonts w:ascii="Arial" w:hAnsi="Arial"/>
                                  <w:b/>
                                  <w:i/>
                                  <w:spacing w:val="-2"/>
                                  <w:sz w:val="18"/>
                                </w:rPr>
                                <w:t> </w:t>
                              </w:r>
                              <w:r>
                                <w:rPr>
                                  <w:rFonts w:ascii="Arial" w:hAnsi="Arial"/>
                                  <w:b/>
                                  <w:i/>
                                  <w:spacing w:val="-5"/>
                                  <w:sz w:val="18"/>
                                </w:rPr>
                                <w:t>06</w:t>
                              </w:r>
                            </w:p>
                          </w:txbxContent>
                        </wps:txbx>
                        <wps:bodyPr wrap="square" lIns="0" tIns="0" rIns="0" bIns="0" rtlCol="0">
                          <a:noAutofit/>
                        </wps:bodyPr>
                      </wps:wsp>
                    </wpg:wgp>
                  </a:graphicData>
                </a:graphic>
              </wp:anchor>
            </w:drawing>
          </mc:Choice>
          <mc:Fallback>
            <w:pict>
              <v:group style="position:absolute;margin-left:.05pt;margin-top:.000771pt;width:595.2pt;height:127.95pt;mso-position-horizontal-relative:page;mso-position-vertical-relative:page;z-index:15730176" id="docshapegroup1" coordorigin="1,0" coordsize="11904,2559">
                <v:shape style="position:absolute;left:1;top:0;width:11904;height:2535" type="#_x0000_t75" id="docshape2" stroked="false">
                  <v:imagedata r:id="rId6" o:title=""/>
                </v:shape>
                <v:shapetype id="_x0000_t202" o:spt="202" coordsize="21600,21600" path="m,l,21600r21600,l21600,xe">
                  <v:stroke joinstyle="miter"/>
                  <v:path gradientshapeok="t" o:connecttype="rect"/>
                </v:shapetype>
                <v:shape style="position:absolute;left:6959;top:2317;width:2837;height:242" type="#_x0000_t202" id="docshape3" filled="false" stroked="false">
                  <v:textbox inset="0,0,0,0">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3"/>
                            <w:sz w:val="18"/>
                          </w:rPr>
                          <w:t> </w:t>
                        </w:r>
                        <w:r>
                          <w:rPr>
                            <w:rFonts w:ascii="Arial" w:hAnsi="Arial"/>
                            <w:b/>
                            <w:i/>
                            <w:sz w:val="18"/>
                          </w:rPr>
                          <w:t>(CE),</w:t>
                        </w:r>
                        <w:r>
                          <w:rPr>
                            <w:rFonts w:ascii="Arial" w:hAnsi="Arial"/>
                            <w:b/>
                            <w:i/>
                            <w:spacing w:val="-3"/>
                            <w:sz w:val="18"/>
                          </w:rPr>
                          <w:t> </w:t>
                        </w:r>
                        <w:r>
                          <w:rPr>
                            <w:rFonts w:ascii="Arial" w:hAnsi="Arial"/>
                            <w:b/>
                            <w:i/>
                            <w:sz w:val="18"/>
                          </w:rPr>
                          <w:t>Ano</w:t>
                        </w:r>
                        <w:r>
                          <w:rPr>
                            <w:rFonts w:ascii="Arial" w:hAnsi="Arial"/>
                            <w:b/>
                            <w:i/>
                            <w:spacing w:val="-3"/>
                            <w:sz w:val="18"/>
                          </w:rPr>
                          <w:t> </w:t>
                        </w:r>
                        <w:r>
                          <w:rPr>
                            <w:rFonts w:ascii="Arial" w:hAnsi="Arial"/>
                            <w:b/>
                            <w:i/>
                            <w:sz w:val="18"/>
                          </w:rPr>
                          <w:t>2025</w:t>
                        </w:r>
                        <w:r>
                          <w:rPr>
                            <w:rFonts w:ascii="Arial" w:hAnsi="Arial"/>
                            <w:b/>
                            <w:i/>
                            <w:spacing w:val="-3"/>
                            <w:sz w:val="18"/>
                          </w:rPr>
                          <w:t> </w:t>
                        </w:r>
                        <w:r>
                          <w:rPr>
                            <w:rFonts w:ascii="Arial" w:hAnsi="Arial"/>
                            <w:b/>
                            <w:i/>
                            <w:sz w:val="18"/>
                          </w:rPr>
                          <w:t>–</w:t>
                        </w:r>
                        <w:r>
                          <w:rPr>
                            <w:rFonts w:ascii="Arial" w:hAnsi="Arial"/>
                            <w:b/>
                            <w:i/>
                            <w:spacing w:val="-3"/>
                            <w:sz w:val="18"/>
                          </w:rPr>
                          <w:t> </w:t>
                        </w:r>
                        <w:r>
                          <w:rPr>
                            <w:rFonts w:ascii="Arial" w:hAnsi="Arial"/>
                            <w:b/>
                            <w:i/>
                            <w:sz w:val="18"/>
                          </w:rPr>
                          <w:t>Nº</w:t>
                        </w:r>
                        <w:r>
                          <w:rPr>
                            <w:rFonts w:ascii="Arial" w:hAnsi="Arial"/>
                            <w:b/>
                            <w:i/>
                            <w:spacing w:val="-2"/>
                            <w:sz w:val="18"/>
                          </w:rPr>
                          <w:t> </w:t>
                        </w:r>
                        <w:r>
                          <w:rPr>
                            <w:rFonts w:ascii="Arial" w:hAnsi="Arial"/>
                            <w:b/>
                            <w:i/>
                            <w:spacing w:val="-5"/>
                            <w:sz w:val="18"/>
                          </w:rPr>
                          <w:t>06</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7"/>
        <w:rPr>
          <w:rFonts w:ascii="Times New Roman"/>
        </w:rPr>
      </w:pPr>
    </w:p>
    <w:p>
      <w:pPr>
        <w:pStyle w:val="BodyText"/>
        <w:ind w:left="264"/>
        <w:rPr>
          <w:rFonts w:ascii="Times New Roman"/>
        </w:rPr>
      </w:pPr>
      <w:r>
        <w:rPr>
          <w:rFonts w:ascii="Times New Roman"/>
        </w:rPr>
        <mc:AlternateContent>
          <mc:Choice Requires="wps">
            <w:drawing>
              <wp:inline distT="0" distB="0" distL="0" distR="0">
                <wp:extent cx="6676390" cy="1605280"/>
                <wp:effectExtent l="0" t="0" r="0" b="4444"/>
                <wp:docPr id="5" name="Group 5"/>
                <wp:cNvGraphicFramePr>
                  <a:graphicFrameLocks/>
                </wp:cNvGraphicFramePr>
                <a:graphic>
                  <a:graphicData uri="http://schemas.microsoft.com/office/word/2010/wordprocessingGroup">
                    <wpg:wgp>
                      <wpg:cNvPr id="5" name="Group 5"/>
                      <wpg:cNvGrpSpPr/>
                      <wpg:grpSpPr>
                        <a:xfrm>
                          <a:off x="0" y="0"/>
                          <a:ext cx="6676390" cy="1605280"/>
                          <a:chExt cx="6676390" cy="1605280"/>
                        </a:xfrm>
                      </wpg:grpSpPr>
                      <pic:pic>
                        <pic:nvPicPr>
                          <pic:cNvPr id="6" name="Image 6"/>
                          <pic:cNvPicPr/>
                        </pic:nvPicPr>
                        <pic:blipFill>
                          <a:blip r:embed="rId7" cstate="print"/>
                          <a:stretch>
                            <a:fillRect/>
                          </a:stretch>
                        </pic:blipFill>
                        <pic:spPr>
                          <a:xfrm>
                            <a:off x="0" y="0"/>
                            <a:ext cx="6676390" cy="1605279"/>
                          </a:xfrm>
                          <a:prstGeom prst="rect">
                            <a:avLst/>
                          </a:prstGeom>
                        </pic:spPr>
                      </pic:pic>
                      <wps:wsp>
                        <wps:cNvPr id="7" name="Textbox 7"/>
                        <wps:cNvSpPr txBox="1"/>
                        <wps:spPr>
                          <a:xfrm>
                            <a:off x="0" y="0"/>
                            <a:ext cx="6676390" cy="1605280"/>
                          </a:xfrm>
                          <a:prstGeom prst="rect">
                            <a:avLst/>
                          </a:prstGeom>
                        </wps:spPr>
                        <wps:txbx>
                          <w:txbxContent>
                            <w:p>
                              <w:pPr>
                                <w:spacing w:line="268" w:lineRule="auto" w:before="186"/>
                                <w:ind w:left="172" w:right="153" w:firstLine="0"/>
                                <w:jc w:val="both"/>
                                <w:rPr>
                                  <w:rFonts w:ascii="Arial" w:hAnsi="Arial"/>
                                  <w:b/>
                                  <w:sz w:val="24"/>
                                </w:rPr>
                              </w:pPr>
                              <w:r>
                                <w:rPr>
                                  <w:rFonts w:ascii="Arial" w:hAnsi="Arial"/>
                                  <w:b/>
                                  <w:sz w:val="24"/>
                                </w:rPr>
                                <w:t>Este Informativo contém informações de decisões proferidas pelos Colegiados do TCE, que</w:t>
                              </w:r>
                              <w:r>
                                <w:rPr>
                                  <w:rFonts w:ascii="Arial" w:hAnsi="Arial"/>
                                  <w:b/>
                                  <w:spacing w:val="-3"/>
                                  <w:sz w:val="24"/>
                                </w:rPr>
                                <w:t> </w:t>
                              </w:r>
                              <w:r>
                                <w:rPr>
                                  <w:rFonts w:ascii="Arial" w:hAnsi="Arial"/>
                                  <w:b/>
                                  <w:sz w:val="24"/>
                                </w:rPr>
                                <w:t>receberam</w:t>
                              </w:r>
                              <w:r>
                                <w:rPr>
                                  <w:rFonts w:ascii="Arial" w:hAnsi="Arial"/>
                                  <w:b/>
                                  <w:spacing w:val="-5"/>
                                  <w:sz w:val="24"/>
                                </w:rPr>
                                <w:t> </w:t>
                              </w:r>
                              <w:r>
                                <w:rPr>
                                  <w:rFonts w:ascii="Arial" w:hAnsi="Arial"/>
                                  <w:b/>
                                  <w:sz w:val="24"/>
                                </w:rPr>
                                <w:t>indicação</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relevância</w:t>
                              </w:r>
                              <w:r>
                                <w:rPr>
                                  <w:rFonts w:ascii="Arial" w:hAnsi="Arial"/>
                                  <w:b/>
                                  <w:spacing w:val="-3"/>
                                  <w:sz w:val="24"/>
                                </w:rPr>
                                <w:t> </w:t>
                              </w:r>
                              <w:r>
                                <w:rPr>
                                  <w:rFonts w:ascii="Arial" w:hAnsi="Arial"/>
                                  <w:b/>
                                  <w:sz w:val="24"/>
                                </w:rPr>
                                <w:t>sob</w:t>
                              </w:r>
                              <w:r>
                                <w:rPr>
                                  <w:rFonts w:ascii="Arial" w:hAnsi="Arial"/>
                                  <w:b/>
                                  <w:spacing w:val="-4"/>
                                  <w:sz w:val="24"/>
                                </w:rPr>
                                <w:t> </w:t>
                              </w:r>
                              <w:r>
                                <w:rPr>
                                  <w:rFonts w:ascii="Arial" w:hAnsi="Arial"/>
                                  <w:b/>
                                  <w:sz w:val="24"/>
                                </w:rPr>
                                <w:t>o</w:t>
                              </w:r>
                              <w:r>
                                <w:rPr>
                                  <w:rFonts w:ascii="Arial" w:hAnsi="Arial"/>
                                  <w:b/>
                                  <w:spacing w:val="-6"/>
                                  <w:sz w:val="24"/>
                                </w:rPr>
                                <w:t> </w:t>
                              </w:r>
                              <w:r>
                                <w:rPr>
                                  <w:rFonts w:ascii="Arial" w:hAnsi="Arial"/>
                                  <w:b/>
                                  <w:sz w:val="24"/>
                                </w:rPr>
                                <w:t>prisma</w:t>
                              </w:r>
                              <w:r>
                                <w:rPr>
                                  <w:rFonts w:ascii="Arial" w:hAnsi="Arial"/>
                                  <w:b/>
                                  <w:spacing w:val="-5"/>
                                  <w:sz w:val="24"/>
                                </w:rPr>
                                <w:t> </w:t>
                              </w:r>
                              <w:r>
                                <w:rPr>
                                  <w:rFonts w:ascii="Arial" w:hAnsi="Arial"/>
                                  <w:b/>
                                  <w:sz w:val="24"/>
                                </w:rPr>
                                <w:t>jurisprudencial</w:t>
                              </w:r>
                              <w:r>
                                <w:rPr>
                                  <w:rFonts w:ascii="Arial" w:hAnsi="Arial"/>
                                  <w:b/>
                                  <w:spacing w:val="-2"/>
                                  <w:sz w:val="24"/>
                                </w:rPr>
                                <w:t> </w:t>
                              </w:r>
                              <w:r>
                                <w:rPr>
                                  <w:rFonts w:ascii="Arial" w:hAnsi="Arial"/>
                                  <w:b/>
                                  <w:sz w:val="24"/>
                                </w:rPr>
                                <w:t>no</w:t>
                              </w:r>
                              <w:r>
                                <w:rPr>
                                  <w:rFonts w:ascii="Arial" w:hAnsi="Arial"/>
                                  <w:b/>
                                  <w:spacing w:val="-4"/>
                                  <w:sz w:val="24"/>
                                </w:rPr>
                                <w:t> </w:t>
                              </w:r>
                              <w:r>
                                <w:rPr>
                                  <w:rFonts w:ascii="Arial" w:hAnsi="Arial"/>
                                  <w:b/>
                                  <w:sz w:val="24"/>
                                </w:rPr>
                                <w:t>período</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z w:val="24"/>
                                </w:rPr>
                                <w:t>junho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7pt;height:126.4pt;mso-position-horizontal-relative:char;mso-position-vertical-relative:line" id="docshapegroup4" coordorigin="0,0" coordsize="10514,2528">
                <v:shape style="position:absolute;left:0;top:0;width:10514;height:2528" type="#_x0000_t75" id="docshape5" stroked="false">
                  <v:imagedata r:id="rId7" o:title=""/>
                </v:shape>
                <v:shape style="position:absolute;left:0;top:0;width:10514;height:2528" type="#_x0000_t202" id="docshape6" filled="false" stroked="false">
                  <v:textbox inset="0,0,0,0">
                    <w:txbxContent>
                      <w:p>
                        <w:pPr>
                          <w:spacing w:line="268" w:lineRule="auto" w:before="186"/>
                          <w:ind w:left="172" w:right="153" w:firstLine="0"/>
                          <w:jc w:val="both"/>
                          <w:rPr>
                            <w:rFonts w:ascii="Arial" w:hAnsi="Arial"/>
                            <w:b/>
                            <w:sz w:val="24"/>
                          </w:rPr>
                        </w:pPr>
                        <w:r>
                          <w:rPr>
                            <w:rFonts w:ascii="Arial" w:hAnsi="Arial"/>
                            <w:b/>
                            <w:sz w:val="24"/>
                          </w:rPr>
                          <w:t>Este Informativo contém informações de decisões proferidas pelos Colegiados do TCE, que</w:t>
                        </w:r>
                        <w:r>
                          <w:rPr>
                            <w:rFonts w:ascii="Arial" w:hAnsi="Arial"/>
                            <w:b/>
                            <w:spacing w:val="-3"/>
                            <w:sz w:val="24"/>
                          </w:rPr>
                          <w:t> </w:t>
                        </w:r>
                        <w:r>
                          <w:rPr>
                            <w:rFonts w:ascii="Arial" w:hAnsi="Arial"/>
                            <w:b/>
                            <w:sz w:val="24"/>
                          </w:rPr>
                          <w:t>receberam</w:t>
                        </w:r>
                        <w:r>
                          <w:rPr>
                            <w:rFonts w:ascii="Arial" w:hAnsi="Arial"/>
                            <w:b/>
                            <w:spacing w:val="-5"/>
                            <w:sz w:val="24"/>
                          </w:rPr>
                          <w:t> </w:t>
                        </w:r>
                        <w:r>
                          <w:rPr>
                            <w:rFonts w:ascii="Arial" w:hAnsi="Arial"/>
                            <w:b/>
                            <w:sz w:val="24"/>
                          </w:rPr>
                          <w:t>indicação</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relevância</w:t>
                        </w:r>
                        <w:r>
                          <w:rPr>
                            <w:rFonts w:ascii="Arial" w:hAnsi="Arial"/>
                            <w:b/>
                            <w:spacing w:val="-3"/>
                            <w:sz w:val="24"/>
                          </w:rPr>
                          <w:t> </w:t>
                        </w:r>
                        <w:r>
                          <w:rPr>
                            <w:rFonts w:ascii="Arial" w:hAnsi="Arial"/>
                            <w:b/>
                            <w:sz w:val="24"/>
                          </w:rPr>
                          <w:t>sob</w:t>
                        </w:r>
                        <w:r>
                          <w:rPr>
                            <w:rFonts w:ascii="Arial" w:hAnsi="Arial"/>
                            <w:b/>
                            <w:spacing w:val="-4"/>
                            <w:sz w:val="24"/>
                          </w:rPr>
                          <w:t> </w:t>
                        </w:r>
                        <w:r>
                          <w:rPr>
                            <w:rFonts w:ascii="Arial" w:hAnsi="Arial"/>
                            <w:b/>
                            <w:sz w:val="24"/>
                          </w:rPr>
                          <w:t>o</w:t>
                        </w:r>
                        <w:r>
                          <w:rPr>
                            <w:rFonts w:ascii="Arial" w:hAnsi="Arial"/>
                            <w:b/>
                            <w:spacing w:val="-6"/>
                            <w:sz w:val="24"/>
                          </w:rPr>
                          <w:t> </w:t>
                        </w:r>
                        <w:r>
                          <w:rPr>
                            <w:rFonts w:ascii="Arial" w:hAnsi="Arial"/>
                            <w:b/>
                            <w:sz w:val="24"/>
                          </w:rPr>
                          <w:t>prisma</w:t>
                        </w:r>
                        <w:r>
                          <w:rPr>
                            <w:rFonts w:ascii="Arial" w:hAnsi="Arial"/>
                            <w:b/>
                            <w:spacing w:val="-5"/>
                            <w:sz w:val="24"/>
                          </w:rPr>
                          <w:t> </w:t>
                        </w:r>
                        <w:r>
                          <w:rPr>
                            <w:rFonts w:ascii="Arial" w:hAnsi="Arial"/>
                            <w:b/>
                            <w:sz w:val="24"/>
                          </w:rPr>
                          <w:t>jurisprudencial</w:t>
                        </w:r>
                        <w:r>
                          <w:rPr>
                            <w:rFonts w:ascii="Arial" w:hAnsi="Arial"/>
                            <w:b/>
                            <w:spacing w:val="-2"/>
                            <w:sz w:val="24"/>
                          </w:rPr>
                          <w:t> </w:t>
                        </w:r>
                        <w:r>
                          <w:rPr>
                            <w:rFonts w:ascii="Arial" w:hAnsi="Arial"/>
                            <w:b/>
                            <w:sz w:val="24"/>
                          </w:rPr>
                          <w:t>no</w:t>
                        </w:r>
                        <w:r>
                          <w:rPr>
                            <w:rFonts w:ascii="Arial" w:hAnsi="Arial"/>
                            <w:b/>
                            <w:spacing w:val="-4"/>
                            <w:sz w:val="24"/>
                          </w:rPr>
                          <w:t> </w:t>
                        </w:r>
                        <w:r>
                          <w:rPr>
                            <w:rFonts w:ascii="Arial" w:hAnsi="Arial"/>
                            <w:b/>
                            <w:sz w:val="24"/>
                          </w:rPr>
                          <w:t>período</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z w:val="24"/>
                          </w:rPr>
                          <w:t>junho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30"/>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390525</wp:posOffset>
                </wp:positionH>
                <wp:positionV relativeFrom="paragraph">
                  <wp:posOffset>180339</wp:posOffset>
                </wp:positionV>
                <wp:extent cx="6736080" cy="4140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736080" cy="414020"/>
                          <a:chExt cx="6736080" cy="414020"/>
                        </a:xfrm>
                      </wpg:grpSpPr>
                      <pic:pic>
                        <pic:nvPicPr>
                          <pic:cNvPr id="9" name="Image 9"/>
                          <pic:cNvPicPr/>
                        </pic:nvPicPr>
                        <pic:blipFill>
                          <a:blip r:embed="rId8" cstate="print"/>
                          <a:stretch>
                            <a:fillRect/>
                          </a:stretch>
                        </pic:blipFill>
                        <pic:spPr>
                          <a:xfrm>
                            <a:off x="0" y="0"/>
                            <a:ext cx="6735721" cy="414020"/>
                          </a:xfrm>
                          <a:prstGeom prst="rect">
                            <a:avLst/>
                          </a:prstGeom>
                        </pic:spPr>
                      </pic:pic>
                      <wps:wsp>
                        <wps:cNvPr id="10" name="Textbox 10"/>
                        <wps:cNvSpPr txBox="1"/>
                        <wps:spPr>
                          <a:xfrm>
                            <a:off x="0" y="0"/>
                            <a:ext cx="6736080" cy="414020"/>
                          </a:xfrm>
                          <a:prstGeom prst="rect">
                            <a:avLst/>
                          </a:prstGeom>
                        </wps:spPr>
                        <wps:txbx>
                          <w:txbxContent>
                            <w:p>
                              <w:pPr>
                                <w:spacing w:before="194"/>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3922/2025</w:t>
                              </w:r>
                            </w:p>
                          </w:txbxContent>
                        </wps:txbx>
                        <wps:bodyPr wrap="square" lIns="0" tIns="0" rIns="0" bIns="0" rtlCol="0">
                          <a:noAutofit/>
                        </wps:bodyPr>
                      </wps:wsp>
                    </wpg:wgp>
                  </a:graphicData>
                </a:graphic>
              </wp:anchor>
            </w:drawing>
          </mc:Choice>
          <mc:Fallback>
            <w:pict>
              <v:group style="position:absolute;margin-left:30.75pt;margin-top:14.2pt;width:530.4pt;height:32.6pt;mso-position-horizontal-relative:page;mso-position-vertical-relative:paragraph;z-index:-15728128;mso-wrap-distance-left:0;mso-wrap-distance-right:0" id="docshapegroup7" coordorigin="615,284" coordsize="10608,652">
                <v:shape style="position:absolute;left:615;top:284;width:10608;height:652" type="#_x0000_t75" id="docshape8" stroked="false">
                  <v:imagedata r:id="rId8" o:title=""/>
                </v:shape>
                <v:shape style="position:absolute;left:615;top:284;width:10608;height:652" type="#_x0000_t202" id="docshape9" filled="false" stroked="false">
                  <v:textbox inset="0,0,0,0">
                    <w:txbxContent>
                      <w:p>
                        <w:pPr>
                          <w:spacing w:before="194"/>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3922/2025</w:t>
                        </w:r>
                      </w:p>
                    </w:txbxContent>
                  </v:textbox>
                  <w10:wrap type="none"/>
                </v:shape>
                <w10:wrap type="topAndBottom"/>
              </v:group>
            </w:pict>
          </mc:Fallback>
        </mc:AlternateContent>
      </w:r>
    </w:p>
    <w:p>
      <w:pPr>
        <w:pStyle w:val="Heading1"/>
        <w:spacing w:before="210"/>
        <w:ind w:right="168"/>
      </w:pPr>
      <w:r>
        <w:rPr/>
        <w:t>REPRESENTAÇÃO. MEDIDA CAUTELAR. HOMOLOGAÇÃO. PROCESSO SELETIVO SIMPLIFICADO. CONTRATO TEMPORÁRIO. PRINCÍPIO DA MORALIDADE E IMPESSOALIDADE. COMPETITIVIDADE.</w:t>
      </w:r>
    </w:p>
    <w:p>
      <w:pPr>
        <w:pStyle w:val="BodyText"/>
        <w:spacing w:before="1"/>
        <w:rPr>
          <w:rFonts w:ascii="Arial"/>
          <w:b/>
          <w:sz w:val="24"/>
        </w:rPr>
      </w:pPr>
    </w:p>
    <w:p>
      <w:pPr>
        <w:pStyle w:val="BodyText"/>
        <w:ind w:left="157" w:right="160"/>
        <w:jc w:val="both"/>
      </w:pPr>
      <w:r>
        <w:rPr/>
        <w:t>Processo seletivo simplificado destinado à contratação de servidores por tempo determinado para atender necessidade temporária de excepcional interesse público. O certame não adotou critérios objetivos quando dispensou a prova de conhecimentos, aplicando apenas a prova de título e entrevista, contrariando os princípios da moralidade e impessoalidade, e implicando prejuízo à competitividade dos candidatos. Risco iminente de um processo seletivo</w:t>
      </w:r>
      <w:r>
        <w:rPr>
          <w:spacing w:val="40"/>
        </w:rPr>
        <w:t> </w:t>
      </w:r>
      <w:r>
        <w:rPr/>
        <w:t>viciado.</w:t>
      </w:r>
      <w:r>
        <w:rPr>
          <w:spacing w:val="-2"/>
        </w:rPr>
        <w:t> </w:t>
      </w:r>
      <w:r>
        <w:rPr/>
        <w:t>Presença dos</w:t>
      </w:r>
      <w:r>
        <w:rPr>
          <w:spacing w:val="-2"/>
        </w:rPr>
        <w:t> </w:t>
      </w:r>
      <w:r>
        <w:rPr/>
        <w:t>requisitos</w:t>
      </w:r>
      <w:r>
        <w:rPr>
          <w:spacing w:val="-2"/>
        </w:rPr>
        <w:t> </w:t>
      </w:r>
      <w:r>
        <w:rPr/>
        <w:t>acauteladores</w:t>
      </w:r>
      <w:r>
        <w:rPr>
          <w:spacing w:val="-2"/>
        </w:rPr>
        <w:t> </w:t>
      </w:r>
      <w:r>
        <w:rPr/>
        <w:t>(fumus</w:t>
      </w:r>
      <w:r>
        <w:rPr>
          <w:spacing w:val="-2"/>
        </w:rPr>
        <w:t> </w:t>
      </w:r>
      <w:r>
        <w:rPr/>
        <w:t>boni</w:t>
      </w:r>
      <w:r>
        <w:rPr>
          <w:spacing w:val="-1"/>
        </w:rPr>
        <w:t> </w:t>
      </w:r>
      <w:r>
        <w:rPr/>
        <w:t>juris e</w:t>
      </w:r>
      <w:r>
        <w:rPr>
          <w:spacing w:val="-2"/>
        </w:rPr>
        <w:t> </w:t>
      </w:r>
      <w:r>
        <w:rPr/>
        <w:t>periculum</w:t>
      </w:r>
      <w:r>
        <w:rPr>
          <w:spacing w:val="-1"/>
        </w:rPr>
        <w:t> </w:t>
      </w:r>
      <w:r>
        <w:rPr/>
        <w:t>in</w:t>
      </w:r>
      <w:r>
        <w:rPr>
          <w:spacing w:val="-2"/>
        </w:rPr>
        <w:t> </w:t>
      </w:r>
      <w:r>
        <w:rPr/>
        <w:t>mora).</w:t>
      </w:r>
      <w:r>
        <w:rPr>
          <w:spacing w:val="-2"/>
        </w:rPr>
        <w:t> </w:t>
      </w:r>
      <w:r>
        <w:rPr/>
        <w:t>O</w:t>
      </w:r>
      <w:r>
        <w:rPr>
          <w:spacing w:val="-2"/>
        </w:rPr>
        <w:t> </w:t>
      </w:r>
      <w:r>
        <w:rPr/>
        <w:t>Pleno</w:t>
      </w:r>
      <w:r>
        <w:rPr>
          <w:spacing w:val="-2"/>
        </w:rPr>
        <w:t> </w:t>
      </w:r>
      <w:r>
        <w:rPr/>
        <w:t>do</w:t>
      </w:r>
      <w:r>
        <w:rPr>
          <w:spacing w:val="-2"/>
        </w:rPr>
        <w:t> </w:t>
      </w:r>
      <w:r>
        <w:rPr/>
        <w:t>Tribunal</w:t>
      </w:r>
      <w:r>
        <w:rPr>
          <w:spacing w:val="-1"/>
        </w:rPr>
        <w:t> </w:t>
      </w:r>
      <w:r>
        <w:rPr/>
        <w:t>de</w:t>
      </w:r>
      <w:r>
        <w:rPr>
          <w:spacing w:val="-2"/>
        </w:rPr>
        <w:t> </w:t>
      </w:r>
      <w:r>
        <w:rPr/>
        <w:t>Contas</w:t>
      </w:r>
      <w:r>
        <w:rPr>
          <w:spacing w:val="-2"/>
        </w:rPr>
        <w:t> </w:t>
      </w:r>
      <w:r>
        <w:rPr/>
        <w:t>do Estado do Ceará, por unanimidade de votos, deferiu a medida cautelar em face da presença dos requisitos acautelatórios, e determinou a suspensão do Processo Seletivo Simplificado.</w:t>
      </w:r>
    </w:p>
    <w:p>
      <w:pPr>
        <w:spacing w:before="207"/>
        <w:ind w:left="157" w:right="0" w:firstLine="0"/>
        <w:jc w:val="both"/>
        <w:rPr>
          <w:sz w:val="18"/>
        </w:rPr>
      </w:pPr>
      <w:r>
        <w:rPr>
          <w:sz w:val="18"/>
        </w:rPr>
        <w:t>Processo</w:t>
      </w:r>
      <w:r>
        <w:rPr>
          <w:spacing w:val="-5"/>
          <w:sz w:val="18"/>
        </w:rPr>
        <w:t> </w:t>
      </w:r>
      <w:r>
        <w:rPr>
          <w:sz w:val="18"/>
        </w:rPr>
        <w:t>n.º</w:t>
      </w:r>
      <w:r>
        <w:rPr>
          <w:spacing w:val="-4"/>
          <w:sz w:val="18"/>
        </w:rPr>
        <w:t> </w:t>
      </w:r>
      <w:r>
        <w:rPr>
          <w:sz w:val="18"/>
        </w:rPr>
        <w:t>11508/2025-8.</w:t>
      </w:r>
      <w:r>
        <w:rPr>
          <w:spacing w:val="69"/>
          <w:sz w:val="18"/>
        </w:rPr>
        <w:t>  </w:t>
      </w:r>
      <w:r>
        <w:rPr>
          <w:sz w:val="18"/>
        </w:rPr>
        <w:t>Relator(a):</w:t>
      </w:r>
      <w:r>
        <w:rPr>
          <w:spacing w:val="-2"/>
          <w:sz w:val="18"/>
        </w:rPr>
        <w:t> </w:t>
      </w:r>
      <w:r>
        <w:rPr>
          <w:sz w:val="18"/>
        </w:rPr>
        <w:t>Cons.</w:t>
      </w:r>
      <w:r>
        <w:rPr>
          <w:spacing w:val="-3"/>
          <w:sz w:val="18"/>
        </w:rPr>
        <w:t> </w:t>
      </w:r>
      <w:r>
        <w:rPr>
          <w:sz w:val="18"/>
        </w:rPr>
        <w:t>Patrícia</w:t>
      </w:r>
      <w:r>
        <w:rPr>
          <w:spacing w:val="-3"/>
          <w:sz w:val="18"/>
        </w:rPr>
        <w:t> </w:t>
      </w:r>
      <w:r>
        <w:rPr>
          <w:sz w:val="18"/>
        </w:rPr>
        <w:t>Saboya.</w:t>
      </w:r>
      <w:r>
        <w:rPr>
          <w:spacing w:val="69"/>
          <w:w w:val="150"/>
          <w:sz w:val="18"/>
        </w:rPr>
        <w:t>  </w:t>
      </w:r>
      <w:r>
        <w:rPr>
          <w:sz w:val="18"/>
        </w:rPr>
        <w:t>Sessão</w:t>
      </w:r>
      <w:r>
        <w:rPr>
          <w:spacing w:val="-3"/>
          <w:sz w:val="18"/>
        </w:rPr>
        <w:t> </w:t>
      </w:r>
      <w:r>
        <w:rPr>
          <w:sz w:val="18"/>
        </w:rPr>
        <w:t>Pleno</w:t>
      </w:r>
      <w:r>
        <w:rPr>
          <w:spacing w:val="-3"/>
          <w:sz w:val="18"/>
        </w:rPr>
        <w:t> </w:t>
      </w:r>
      <w:r>
        <w:rPr>
          <w:sz w:val="18"/>
        </w:rPr>
        <w:t>de</w:t>
      </w:r>
      <w:r>
        <w:rPr>
          <w:spacing w:val="-3"/>
          <w:sz w:val="18"/>
        </w:rPr>
        <w:t> </w:t>
      </w:r>
      <w:r>
        <w:rPr>
          <w:sz w:val="18"/>
        </w:rPr>
        <w:t>16/06/2025.</w:t>
      </w:r>
      <w:r>
        <w:rPr>
          <w:spacing w:val="70"/>
          <w:sz w:val="18"/>
        </w:rPr>
        <w:t>  </w:t>
      </w:r>
      <w:r>
        <w:rPr>
          <w:sz w:val="18"/>
        </w:rPr>
        <w:t>Ata</w:t>
      </w:r>
      <w:r>
        <w:rPr>
          <w:spacing w:val="-2"/>
          <w:sz w:val="18"/>
        </w:rPr>
        <w:t> </w:t>
      </w:r>
      <w:r>
        <w:rPr>
          <w:sz w:val="18"/>
        </w:rPr>
        <w:t>n.º</w:t>
      </w:r>
      <w:r>
        <w:rPr>
          <w:spacing w:val="-3"/>
          <w:sz w:val="18"/>
        </w:rPr>
        <w:t> </w:t>
      </w:r>
      <w:r>
        <w:rPr>
          <w:sz w:val="18"/>
        </w:rPr>
        <w:t>236.</w:t>
      </w:r>
      <w:r>
        <w:rPr>
          <w:spacing w:val="69"/>
          <w:sz w:val="18"/>
        </w:rPr>
        <w:t>  </w:t>
      </w:r>
      <w:r>
        <w:rPr>
          <w:sz w:val="18"/>
        </w:rPr>
        <w:t>DO:</w:t>
      </w:r>
      <w:r>
        <w:rPr>
          <w:spacing w:val="-2"/>
          <w:sz w:val="18"/>
        </w:rPr>
        <w:t> 07/07/2025.</w:t>
      </w:r>
    </w:p>
    <w:p>
      <w:pPr>
        <w:pStyle w:val="BodyText"/>
        <w:spacing w:before="2"/>
        <w:rPr>
          <w:sz w:val="11"/>
        </w:rPr>
      </w:pPr>
      <w:r>
        <w:rPr>
          <w:sz w:val="11"/>
        </w:rPr>
        <mc:AlternateContent>
          <mc:Choice Requires="wps">
            <w:drawing>
              <wp:anchor distT="0" distB="0" distL="0" distR="0" allowOverlap="1" layoutInCell="1" locked="0" behindDoc="1" simplePos="0" relativeHeight="487588864">
                <wp:simplePos x="0" y="0"/>
                <wp:positionH relativeFrom="page">
                  <wp:posOffset>349250</wp:posOffset>
                </wp:positionH>
                <wp:positionV relativeFrom="paragraph">
                  <wp:posOffset>97312</wp:posOffset>
                </wp:positionV>
                <wp:extent cx="6824345" cy="454025"/>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24345" cy="454025"/>
                          <a:chExt cx="6824345" cy="454025"/>
                        </a:xfrm>
                      </wpg:grpSpPr>
                      <pic:pic>
                        <pic:nvPicPr>
                          <pic:cNvPr id="12" name="Image 12"/>
                          <pic:cNvPicPr/>
                        </pic:nvPicPr>
                        <pic:blipFill>
                          <a:blip r:embed="rId9" cstate="print"/>
                          <a:stretch>
                            <a:fillRect/>
                          </a:stretch>
                        </pic:blipFill>
                        <pic:spPr>
                          <a:xfrm>
                            <a:off x="0" y="0"/>
                            <a:ext cx="6824345" cy="454025"/>
                          </a:xfrm>
                          <a:prstGeom prst="rect">
                            <a:avLst/>
                          </a:prstGeom>
                        </pic:spPr>
                      </pic:pic>
                      <wps:wsp>
                        <wps:cNvPr id="13" name="Textbox 13"/>
                        <wps:cNvSpPr txBox="1"/>
                        <wps:spPr>
                          <a:xfrm>
                            <a:off x="0" y="0"/>
                            <a:ext cx="6824345" cy="454025"/>
                          </a:xfrm>
                          <a:prstGeom prst="rect">
                            <a:avLst/>
                          </a:prstGeom>
                        </wps:spPr>
                        <wps:txbx>
                          <w:txbxContent>
                            <w:p>
                              <w:pPr>
                                <w:spacing w:line="240" w:lineRule="auto" w:before="7"/>
                                <w:rPr>
                                  <w:sz w:val="22"/>
                                </w:rPr>
                              </w:pPr>
                            </w:p>
                            <w:p>
                              <w:pPr>
                                <w:spacing w:before="0"/>
                                <w:ind w:left="378" w:right="321"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3709/2025</w:t>
                              </w:r>
                            </w:p>
                          </w:txbxContent>
                        </wps:txbx>
                        <wps:bodyPr wrap="square" lIns="0" tIns="0" rIns="0" bIns="0" rtlCol="0">
                          <a:noAutofit/>
                        </wps:bodyPr>
                      </wps:wsp>
                    </wpg:wgp>
                  </a:graphicData>
                </a:graphic>
              </wp:anchor>
            </w:drawing>
          </mc:Choice>
          <mc:Fallback>
            <w:pict>
              <v:group style="position:absolute;margin-left:27.5pt;margin-top:7.662402pt;width:537.35pt;height:35.75pt;mso-position-horizontal-relative:page;mso-position-vertical-relative:paragraph;z-index:-15727616;mso-wrap-distance-left:0;mso-wrap-distance-right:0" id="docshapegroup10" coordorigin="550,153" coordsize="10747,715">
                <v:shape style="position:absolute;left:550;top:153;width:10747;height:715" type="#_x0000_t75" id="docshape11" stroked="false">
                  <v:imagedata r:id="rId9" o:title=""/>
                </v:shape>
                <v:shape style="position:absolute;left:550;top:153;width:10747;height:715" type="#_x0000_t202" id="docshape12" filled="false" stroked="false">
                  <v:textbox inset="0,0,0,0">
                    <w:txbxContent>
                      <w:p>
                        <w:pPr>
                          <w:spacing w:line="240" w:lineRule="auto" w:before="7"/>
                          <w:rPr>
                            <w:sz w:val="22"/>
                          </w:rPr>
                        </w:pPr>
                      </w:p>
                      <w:p>
                        <w:pPr>
                          <w:spacing w:before="0"/>
                          <w:ind w:left="378" w:right="321"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1"/>
                            <w:sz w:val="22"/>
                          </w:rPr>
                          <w:t> </w:t>
                        </w:r>
                        <w:r>
                          <w:rPr>
                            <w:rFonts w:ascii="Arial" w:hAnsi="Arial"/>
                            <w:b/>
                            <w:color w:val="FFFFFF"/>
                            <w:spacing w:val="-2"/>
                            <w:sz w:val="22"/>
                          </w:rPr>
                          <w:t>3709/2025</w:t>
                        </w:r>
                      </w:p>
                    </w:txbxContent>
                  </v:textbox>
                  <w10:wrap type="none"/>
                </v:shape>
                <w10:wrap type="topAndBottom"/>
              </v:group>
            </w:pict>
          </mc:Fallback>
        </mc:AlternateContent>
      </w:r>
    </w:p>
    <w:p>
      <w:pPr>
        <w:pStyle w:val="Heading1"/>
        <w:spacing w:before="213"/>
        <w:ind w:right="160"/>
      </w:pPr>
      <w:r>
        <w:rPr/>
        <w:t>PRESTAÇÃO DE CONTAS DE GESTÃO. FUNDEB. DESPESAS. EXERCÍCIO ANTERIOR. TARIFAS BANCÁRIAS. PAGAMENTO INDEVIDO. BENS PATRIMONIAIS. BEM MÓVEL. BEM IMÓVEL. DEPRECIAÇÃO. RESPONSABILIDADE CONTADOR. EXCLUSÃO. REMUNERAÇÃO PROFESSOR. APLICAÇÃO DO MÍNIMO DE SETENTA POR CENTO.</w:t>
      </w:r>
    </w:p>
    <w:p>
      <w:pPr>
        <w:pStyle w:val="BodyText"/>
        <w:spacing w:before="229"/>
        <w:ind w:left="157" w:right="165"/>
        <w:jc w:val="both"/>
      </w:pPr>
      <w:r>
        <w:rPr/>
        <w:t>Prestação de Contas do Fundeb. Dentre outras falhas que apresentaram aspectos negativos, foram apontadas as seguintes ocorrências: a) pagamento indevido de despesa de exercícios anteriores/DEA com recursos do Fundeb; b) ausência do registro da depreciação e/ou exaustão e/ou amortização dos bens patrimoniais; c) não aplicação do mínimo exigido de 70% das receitas do Fundeb com remuneração dos profissionais da educação e respectivos encargos</w:t>
      </w:r>
      <w:r>
        <w:rPr>
          <w:spacing w:val="40"/>
        </w:rPr>
        <w:t> </w:t>
      </w:r>
      <w:r>
        <w:rPr/>
        <w:t>sociais; d) despesas com tarifas bancárias pagas indevidamente com recursos do Fundeb. De acordo com o art. 25 da Lei nº 14.113/20, os recursos do Fundeb, inclusive as complementações da União, devem ser utilizados no exercício financeiro em que são creditados. Tendo em vista o princípio da anualidade, a regra é que os recursos sejam utilizados dentro do exercício a que se referem, ou seja, em que são transferidos. Por essa razão, eventuais débitos de exercícios anteriores (Despesas de Exercícios Anteriores - DEA) devem ser pagos com outros recursos que não sejam originários do Fundeb. A justificativa apresentada pela defesa, baseada na necessidade de inventário para o registro da depreciação, não procedeu, pois trata-se de procedimentos distintos. A depreciação deve ser contabilizada com base nas informações já disponíveis, independentemente da conclusão do</w:t>
      </w:r>
      <w:r>
        <w:rPr>
          <w:spacing w:val="-2"/>
        </w:rPr>
        <w:t> </w:t>
      </w:r>
      <w:r>
        <w:rPr/>
        <w:t>inventário. No que tange ao contador, entendeu-se que deve ser excluído dos autos, porque o prestador de serviços somente é alcançado pela jurisdição deste Tribunal de Contas</w:t>
      </w:r>
      <w:r>
        <w:rPr>
          <w:spacing w:val="18"/>
        </w:rPr>
        <w:t> </w:t>
      </w:r>
      <w:r>
        <w:rPr/>
        <w:t>se</w:t>
      </w:r>
      <w:r>
        <w:rPr>
          <w:spacing w:val="20"/>
        </w:rPr>
        <w:t> </w:t>
      </w:r>
      <w:r>
        <w:rPr/>
        <w:t>tiver</w:t>
      </w:r>
      <w:r>
        <w:rPr>
          <w:spacing w:val="19"/>
        </w:rPr>
        <w:t> </w:t>
      </w:r>
      <w:r>
        <w:rPr/>
        <w:t>ocasionado</w:t>
      </w:r>
      <w:r>
        <w:rPr>
          <w:spacing w:val="18"/>
        </w:rPr>
        <w:t> </w:t>
      </w:r>
      <w:r>
        <w:rPr/>
        <w:t>dano</w:t>
      </w:r>
      <w:r>
        <w:rPr>
          <w:spacing w:val="18"/>
        </w:rPr>
        <w:t> </w:t>
      </w:r>
      <w:r>
        <w:rPr/>
        <w:t>ao</w:t>
      </w:r>
      <w:r>
        <w:rPr>
          <w:spacing w:val="18"/>
        </w:rPr>
        <w:t> </w:t>
      </w:r>
      <w:r>
        <w:rPr/>
        <w:t>erário,</w:t>
      </w:r>
      <w:r>
        <w:rPr>
          <w:spacing w:val="18"/>
        </w:rPr>
        <w:t> </w:t>
      </w:r>
      <w:r>
        <w:rPr/>
        <w:t>respondendo</w:t>
      </w:r>
      <w:r>
        <w:rPr>
          <w:spacing w:val="18"/>
        </w:rPr>
        <w:t> </w:t>
      </w:r>
      <w:r>
        <w:rPr/>
        <w:t>de</w:t>
      </w:r>
      <w:r>
        <w:rPr>
          <w:spacing w:val="18"/>
        </w:rPr>
        <w:t> </w:t>
      </w:r>
      <w:r>
        <w:rPr/>
        <w:t>forma</w:t>
      </w:r>
      <w:r>
        <w:rPr>
          <w:spacing w:val="18"/>
        </w:rPr>
        <w:t> </w:t>
      </w:r>
      <w:r>
        <w:rPr/>
        <w:t>solidária</w:t>
      </w:r>
      <w:r>
        <w:rPr>
          <w:spacing w:val="20"/>
        </w:rPr>
        <w:t> </w:t>
      </w:r>
      <w:r>
        <w:rPr/>
        <w:t>com</w:t>
      </w:r>
      <w:r>
        <w:rPr>
          <w:spacing w:val="19"/>
        </w:rPr>
        <w:t> </w:t>
      </w:r>
      <w:r>
        <w:rPr/>
        <w:t>o</w:t>
      </w:r>
      <w:r>
        <w:rPr>
          <w:spacing w:val="18"/>
        </w:rPr>
        <w:t> </w:t>
      </w:r>
      <w:r>
        <w:rPr/>
        <w:t>gestor</w:t>
      </w:r>
      <w:r>
        <w:rPr>
          <w:spacing w:val="19"/>
        </w:rPr>
        <w:t> </w:t>
      </w:r>
      <w:r>
        <w:rPr/>
        <w:t>pelo</w:t>
      </w:r>
      <w:r>
        <w:rPr>
          <w:spacing w:val="18"/>
        </w:rPr>
        <w:t> </w:t>
      </w:r>
      <w:r>
        <w:rPr/>
        <w:t>débito</w:t>
      </w:r>
      <w:r>
        <w:rPr>
          <w:spacing w:val="20"/>
        </w:rPr>
        <w:t> </w:t>
      </w:r>
      <w:r>
        <w:rPr/>
        <w:t>a</w:t>
      </w:r>
      <w:r>
        <w:rPr>
          <w:spacing w:val="18"/>
        </w:rPr>
        <w:t> </w:t>
      </w:r>
      <w:r>
        <w:rPr/>
        <w:t>ser</w:t>
      </w:r>
      <w:r>
        <w:rPr>
          <w:spacing w:val="19"/>
        </w:rPr>
        <w:t> </w:t>
      </w:r>
      <w:r>
        <w:rPr/>
        <w:t>imputado.</w:t>
      </w:r>
    </w:p>
    <w:p>
      <w:pPr>
        <w:pStyle w:val="BodyText"/>
        <w:spacing w:after="0"/>
        <w:jc w:val="both"/>
        <w:sectPr>
          <w:footerReference w:type="default" r:id="rId5"/>
          <w:type w:val="continuous"/>
          <w:pgSz w:w="11910" w:h="16840"/>
          <w:pgMar w:header="0" w:footer="761" w:top="0" w:bottom="960" w:left="425" w:right="425"/>
          <w:pgNumType w:start="1"/>
        </w:sectPr>
      </w:pPr>
    </w:p>
    <w:p>
      <w:pPr>
        <w:pStyle w:val="BodyText"/>
        <w:spacing w:before="66"/>
        <w:ind w:left="157" w:right="171"/>
        <w:jc w:val="both"/>
      </w:pPr>
      <w:r>
        <w:rPr/>
        <w:t>Caso seja agente público (servidor efetivo ou comissionado), poderá responder de forma solidária pelos atos praticados pelo gestor, sendo passível de multa e/ou débito. As despesas realizadas com a remuneração dos profissionais da educação atingiram o montante de R$ 28.264.032,37, representando 69,79% das receitas do Fundeb, dessa forma descumprindo a exigência contida no art. 26 da Lei Federal nº 14.113/2020. As informações contidas no Balanço Financeiro não devem ser desprezadas, pois também gozam de presunção de veracidade. Nesse contexto, elaborou-se comparativo para verificar a aplicação dos recursos do Fundeb na remuneração dos profissionais da educação básica, de acordo com as demonstrações financeiras contidas nos autos. De acordo com as informações contidas no site da Secretaria do Tesouro Nacional – STN e no BF / Anexos II e X, foram aplicados, em despesas na remuneração dos profissionais da educação básica, respectivamente, 70,02% (setenta vírgula zero dois por cento) e 70,07% (setenta vírgula zero sete por cento) dos recursos. Portanto, considerou-se cumprido o percentual mínimo exigido de 70% nos termos do art. 26 da Lei 14113/2020. Esta Corte de Contas tem manifestado entendimento de que o pagamento de tarifas bancárias com recursos do Fundeb constitui dano ao erário, razão pela qual os valores devem ser devidamente ressarcidos</w:t>
      </w:r>
      <w:r>
        <w:rPr>
          <w:spacing w:val="-4"/>
        </w:rPr>
        <w:t> </w:t>
      </w:r>
      <w:r>
        <w:rPr/>
        <w:t>(Acórdão</w:t>
      </w:r>
      <w:r>
        <w:rPr>
          <w:spacing w:val="-4"/>
        </w:rPr>
        <w:t> </w:t>
      </w:r>
      <w:r>
        <w:rPr/>
        <w:t>nº</w:t>
      </w:r>
      <w:r>
        <w:rPr>
          <w:spacing w:val="-5"/>
        </w:rPr>
        <w:t> </w:t>
      </w:r>
      <w:r>
        <w:rPr/>
        <w:t>401/2022</w:t>
      </w:r>
      <w:r>
        <w:rPr>
          <w:spacing w:val="-4"/>
        </w:rPr>
        <w:t> </w:t>
      </w:r>
      <w:r>
        <w:rPr/>
        <w:t>do</w:t>
      </w:r>
      <w:r>
        <w:rPr>
          <w:spacing w:val="-4"/>
        </w:rPr>
        <w:t> </w:t>
      </w:r>
      <w:r>
        <w:rPr/>
        <w:t>Processo</w:t>
      </w:r>
      <w:r>
        <w:rPr>
          <w:spacing w:val="-4"/>
        </w:rPr>
        <w:t> </w:t>
      </w:r>
      <w:r>
        <w:rPr/>
        <w:t>nº</w:t>
      </w:r>
      <w:r>
        <w:rPr>
          <w:spacing w:val="-5"/>
        </w:rPr>
        <w:t> </w:t>
      </w:r>
      <w:r>
        <w:rPr/>
        <w:t>32500/2018-0</w:t>
      </w:r>
      <w:r>
        <w:rPr>
          <w:spacing w:val="-4"/>
        </w:rPr>
        <w:t> </w:t>
      </w:r>
      <w:r>
        <w:rPr/>
        <w:t>e</w:t>
      </w:r>
      <w:r>
        <w:rPr>
          <w:spacing w:val="-5"/>
        </w:rPr>
        <w:t> </w:t>
      </w:r>
      <w:r>
        <w:rPr/>
        <w:t>Acórdão</w:t>
      </w:r>
      <w:r>
        <w:rPr>
          <w:spacing w:val="-4"/>
        </w:rPr>
        <w:t> </w:t>
      </w:r>
      <w:r>
        <w:rPr/>
        <w:t>nº</w:t>
      </w:r>
      <w:r>
        <w:rPr>
          <w:spacing w:val="-4"/>
        </w:rPr>
        <w:t> </w:t>
      </w:r>
      <w:r>
        <w:rPr/>
        <w:t>1206/2021</w:t>
      </w:r>
      <w:r>
        <w:rPr>
          <w:spacing w:val="-4"/>
        </w:rPr>
        <w:t> </w:t>
      </w:r>
      <w:r>
        <w:rPr/>
        <w:t>do</w:t>
      </w:r>
      <w:r>
        <w:rPr>
          <w:spacing w:val="-4"/>
        </w:rPr>
        <w:t> </w:t>
      </w:r>
      <w:r>
        <w:rPr/>
        <w:t>Processo</w:t>
      </w:r>
      <w:r>
        <w:rPr>
          <w:spacing w:val="-5"/>
        </w:rPr>
        <w:t> </w:t>
      </w:r>
      <w:r>
        <w:rPr/>
        <w:t>nº</w:t>
      </w:r>
      <w:r>
        <w:rPr>
          <w:spacing w:val="-5"/>
        </w:rPr>
        <w:t> </w:t>
      </w:r>
      <w:r>
        <w:rPr/>
        <w:t>35828/2018-5). O Pleno do Tribunal de Contas do Estado do Ceará, por unanimidade de votos, excluiu da relação processual o contador, e, por maioria de votos, julgou os autos regulares com ressalva, com multa, determinação e recomendação.</w:t>
      </w:r>
    </w:p>
    <w:p>
      <w:pPr>
        <w:pStyle w:val="BodyText"/>
        <w:spacing w:before="13"/>
      </w:pPr>
    </w:p>
    <w:p>
      <w:pPr>
        <w:spacing w:before="0"/>
        <w:ind w:left="157" w:right="0" w:firstLine="0"/>
        <w:jc w:val="both"/>
        <w:rPr>
          <w:sz w:val="18"/>
        </w:rPr>
      </w:pPr>
      <w:r>
        <w:rPr>
          <w:sz w:val="18"/>
        </w:rPr>
        <w:t>Processo</w:t>
      </w:r>
      <w:r>
        <w:rPr>
          <w:spacing w:val="-4"/>
          <w:sz w:val="18"/>
        </w:rPr>
        <w:t> </w:t>
      </w:r>
      <w:r>
        <w:rPr>
          <w:sz w:val="18"/>
        </w:rPr>
        <w:t>n.º</w:t>
      </w:r>
      <w:r>
        <w:rPr>
          <w:spacing w:val="-3"/>
          <w:sz w:val="18"/>
        </w:rPr>
        <w:t> </w:t>
      </w:r>
      <w:r>
        <w:rPr>
          <w:sz w:val="18"/>
        </w:rPr>
        <w:t>09223/2022-5.</w:t>
      </w:r>
      <w:r>
        <w:rPr>
          <w:spacing w:val="69"/>
          <w:sz w:val="18"/>
        </w:rPr>
        <w:t>  </w:t>
      </w:r>
      <w:r>
        <w:rPr>
          <w:sz w:val="18"/>
        </w:rPr>
        <w:t>Relator(a):</w:t>
      </w:r>
      <w:r>
        <w:rPr>
          <w:spacing w:val="-2"/>
          <w:sz w:val="18"/>
        </w:rPr>
        <w:t> </w:t>
      </w:r>
      <w:r>
        <w:rPr>
          <w:sz w:val="18"/>
        </w:rPr>
        <w:t>Cons.</w:t>
      </w:r>
      <w:r>
        <w:rPr>
          <w:spacing w:val="-3"/>
          <w:sz w:val="18"/>
        </w:rPr>
        <w:t> </w:t>
      </w:r>
      <w:r>
        <w:rPr>
          <w:sz w:val="18"/>
        </w:rPr>
        <w:t>Patrícia</w:t>
      </w:r>
      <w:r>
        <w:rPr>
          <w:spacing w:val="-3"/>
          <w:sz w:val="18"/>
        </w:rPr>
        <w:t> </w:t>
      </w:r>
      <w:r>
        <w:rPr>
          <w:sz w:val="18"/>
        </w:rPr>
        <w:t>Saboya.</w:t>
      </w:r>
      <w:r>
        <w:rPr>
          <w:spacing w:val="70"/>
          <w:sz w:val="18"/>
        </w:rPr>
        <w:t>  </w:t>
      </w:r>
      <w:r>
        <w:rPr>
          <w:sz w:val="18"/>
        </w:rPr>
        <w:t>Sessão</w:t>
      </w:r>
      <w:r>
        <w:rPr>
          <w:spacing w:val="-3"/>
          <w:sz w:val="18"/>
        </w:rPr>
        <w:t> </w:t>
      </w:r>
      <w:r>
        <w:rPr>
          <w:sz w:val="18"/>
        </w:rPr>
        <w:t>Pleno</w:t>
      </w:r>
      <w:r>
        <w:rPr>
          <w:spacing w:val="-3"/>
          <w:sz w:val="18"/>
        </w:rPr>
        <w:t> </w:t>
      </w:r>
      <w:r>
        <w:rPr>
          <w:sz w:val="18"/>
        </w:rPr>
        <w:t>de</w:t>
      </w:r>
      <w:r>
        <w:rPr>
          <w:spacing w:val="-3"/>
          <w:sz w:val="18"/>
        </w:rPr>
        <w:t> </w:t>
      </w:r>
      <w:r>
        <w:rPr>
          <w:sz w:val="18"/>
        </w:rPr>
        <w:t>10/06/2025.</w:t>
      </w:r>
      <w:r>
        <w:rPr>
          <w:spacing w:val="70"/>
          <w:sz w:val="18"/>
        </w:rPr>
        <w:t>  </w:t>
      </w:r>
      <w:r>
        <w:rPr>
          <w:sz w:val="18"/>
        </w:rPr>
        <w:t>Ata</w:t>
      </w:r>
      <w:r>
        <w:rPr>
          <w:spacing w:val="-2"/>
          <w:sz w:val="18"/>
        </w:rPr>
        <w:t> </w:t>
      </w:r>
      <w:r>
        <w:rPr>
          <w:sz w:val="18"/>
        </w:rPr>
        <w:t>n.º</w:t>
      </w:r>
      <w:r>
        <w:rPr>
          <w:spacing w:val="-3"/>
          <w:sz w:val="18"/>
        </w:rPr>
        <w:t> </w:t>
      </w:r>
      <w:r>
        <w:rPr>
          <w:sz w:val="18"/>
        </w:rPr>
        <w:t>05.</w:t>
      </w:r>
      <w:r>
        <w:rPr>
          <w:spacing w:val="69"/>
          <w:sz w:val="18"/>
        </w:rPr>
        <w:t>  </w:t>
      </w:r>
      <w:r>
        <w:rPr>
          <w:sz w:val="18"/>
        </w:rPr>
        <w:t>DO:</w:t>
      </w:r>
      <w:r>
        <w:rPr>
          <w:spacing w:val="-3"/>
          <w:sz w:val="18"/>
        </w:rPr>
        <w:t> </w:t>
      </w:r>
      <w:r>
        <w:rPr>
          <w:spacing w:val="-2"/>
          <w:sz w:val="18"/>
        </w:rPr>
        <w:t>09/07/2025.</w:t>
      </w:r>
    </w:p>
    <w:p>
      <w:pPr>
        <w:pStyle w:val="BodyText"/>
        <w:rPr>
          <w:sz w:val="12"/>
        </w:rPr>
      </w:pPr>
      <w:r>
        <w:rPr>
          <w:sz w:val="12"/>
        </w:rPr>
        <mc:AlternateContent>
          <mc:Choice Requires="wps">
            <w:drawing>
              <wp:anchor distT="0" distB="0" distL="0" distR="0" allowOverlap="1" layoutInCell="1" locked="0" behindDoc="1" simplePos="0" relativeHeight="487589888">
                <wp:simplePos x="0" y="0"/>
                <wp:positionH relativeFrom="page">
                  <wp:posOffset>366395</wp:posOffset>
                </wp:positionH>
                <wp:positionV relativeFrom="paragraph">
                  <wp:posOffset>103219</wp:posOffset>
                </wp:positionV>
                <wp:extent cx="6824345" cy="432434"/>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824345" cy="432434"/>
                          <a:chExt cx="6824345" cy="432434"/>
                        </a:xfrm>
                      </wpg:grpSpPr>
                      <pic:pic>
                        <pic:nvPicPr>
                          <pic:cNvPr id="15" name="Image 15"/>
                          <pic:cNvPicPr/>
                        </pic:nvPicPr>
                        <pic:blipFill>
                          <a:blip r:embed="rId9" cstate="print"/>
                          <a:stretch>
                            <a:fillRect/>
                          </a:stretch>
                        </pic:blipFill>
                        <pic:spPr>
                          <a:xfrm>
                            <a:off x="0" y="0"/>
                            <a:ext cx="6824345" cy="432434"/>
                          </a:xfrm>
                          <a:prstGeom prst="rect">
                            <a:avLst/>
                          </a:prstGeom>
                        </pic:spPr>
                      </pic:pic>
                      <wps:wsp>
                        <wps:cNvPr id="16" name="Textbox 16"/>
                        <wps:cNvSpPr txBox="1"/>
                        <wps:spPr>
                          <a:xfrm>
                            <a:off x="0" y="0"/>
                            <a:ext cx="6824345" cy="432434"/>
                          </a:xfrm>
                          <a:prstGeom prst="rect">
                            <a:avLst/>
                          </a:prstGeom>
                        </wps:spPr>
                        <wps:txbx>
                          <w:txbxContent>
                            <w:p>
                              <w:pPr>
                                <w:spacing w:before="241"/>
                                <w:ind w:left="508" w:right="13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4152/2025</w:t>
                              </w:r>
                            </w:p>
                          </w:txbxContent>
                        </wps:txbx>
                        <wps:bodyPr wrap="square" lIns="0" tIns="0" rIns="0" bIns="0" rtlCol="0">
                          <a:noAutofit/>
                        </wps:bodyPr>
                      </wps:wsp>
                    </wpg:wgp>
                  </a:graphicData>
                </a:graphic>
              </wp:anchor>
            </w:drawing>
          </mc:Choice>
          <mc:Fallback>
            <w:pict>
              <v:group style="position:absolute;margin-left:28.85pt;margin-top:8.127504pt;width:537.35pt;height:34.050pt;mso-position-horizontal-relative:page;mso-position-vertical-relative:paragraph;z-index:-15726592;mso-wrap-distance-left:0;mso-wrap-distance-right:0" id="docshapegroup13" coordorigin="577,163" coordsize="10747,681">
                <v:shape style="position:absolute;left:577;top:162;width:10747;height:681" type="#_x0000_t75" id="docshape14" stroked="false">
                  <v:imagedata r:id="rId9" o:title=""/>
                </v:shape>
                <v:shape style="position:absolute;left:577;top:162;width:10747;height:681" type="#_x0000_t202" id="docshape15" filled="false" stroked="false">
                  <v:textbox inset="0,0,0,0">
                    <w:txbxContent>
                      <w:p>
                        <w:pPr>
                          <w:spacing w:before="241"/>
                          <w:ind w:left="508" w:right="13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4152/2025</w:t>
                        </w:r>
                      </w:p>
                    </w:txbxContent>
                  </v:textbox>
                  <w10:wrap type="none"/>
                </v:shape>
                <w10:wrap type="topAndBottom"/>
              </v:group>
            </w:pict>
          </mc:Fallback>
        </mc:AlternateContent>
      </w:r>
    </w:p>
    <w:p>
      <w:pPr>
        <w:pStyle w:val="Heading1"/>
        <w:spacing w:before="262"/>
        <w:ind w:right="166"/>
      </w:pPr>
      <w:r>
        <w:rPr/>
        <w:t>PRESTAÇÃO DE CONTAS DE GESTÃO. INVENTÁRIO BENS PATRIMONIAIS. BENS MÓVEIS. BENS IMÓVEIS. REGISTRO CONTÁBIL. SALDO PATRIMONIAL. DEPRECIAÇÃO. NOTAS EXPLICATIVAS. DEMONSTRAÇÃO CONTÁBIL.</w:t>
      </w:r>
    </w:p>
    <w:p>
      <w:pPr>
        <w:pStyle w:val="BodyText"/>
        <w:spacing w:before="207"/>
        <w:ind w:left="157" w:right="170"/>
        <w:jc w:val="both"/>
      </w:pPr>
      <w:r>
        <w:rPr/>
        <w:t>Prestação de contas de gestão. Dentre as falhas apontadas, destacou-se: Ausência de comprovação dos saldos dos bens de consumo, móveis e imóveis e da comprovação dos bens intangíveis registrados na contabilidade; ausência do registro da depreciação, amortização e exaustão na contabilidade; inobservância das notas explicativas às NBC TSP 11 e MCASP; e o não atendimento de determinações expedidas em contas anteriores. A ausência do saldo total dos inventários de bens de consumo, móveis e imóveis configura falha que dificulta a análise e comparação com os demonstrativos contábeis (94, 95 e 96 da Lei nº 4.320/1964 e o Anexo III do Decreto nº 27.786/2005). A falha da ausência do saldo total dos inventários de bens de consumo, móveis e imóveis poderá ser relativizada quando o dado faltante puder ser encontrado a partir da soma dos valores individuais lançados no inventário. A ausência do registro da depreciação, amortização e exaustão na contabilidade foi considerada falha leve, ensejando apenas a expedição de multa e recomendação. A ausência de Notas Explicativas impossibilita a compreensão das demonstrações contábeis, ocasionando infringência ao disposto na Parte V, item 8, do MCASP 8.ª edição. Notas explicativas, se presentes e redigidas de forma esclarecedora, poderiam ser suficientes para aclarar as questões contábeis, contribuindo com a interpretação e a melhor transparência, celeridade processual e fiscalização. O Pleno do Tribunal de Contas do Estado do Ceará, por maioria de votos, julgou as contas regulares com ressalva, aplicou multa e determinação.</w:t>
      </w:r>
    </w:p>
    <w:p>
      <w:pPr>
        <w:spacing w:before="229"/>
        <w:ind w:left="157" w:right="0" w:firstLine="0"/>
        <w:jc w:val="both"/>
        <w:rPr>
          <w:sz w:val="18"/>
        </w:rPr>
      </w:pPr>
      <w:r>
        <w:rPr>
          <w:sz w:val="18"/>
        </w:rPr>
        <w:t>Processo</w:t>
      </w:r>
      <w:r>
        <w:rPr>
          <w:spacing w:val="-4"/>
          <w:sz w:val="18"/>
        </w:rPr>
        <w:t> </w:t>
      </w:r>
      <w:r>
        <w:rPr>
          <w:sz w:val="18"/>
        </w:rPr>
        <w:t>n.º</w:t>
      </w:r>
      <w:r>
        <w:rPr>
          <w:spacing w:val="-2"/>
          <w:sz w:val="18"/>
        </w:rPr>
        <w:t> </w:t>
      </w:r>
      <w:r>
        <w:rPr>
          <w:sz w:val="18"/>
        </w:rPr>
        <w:t>20908/2022-4.</w:t>
      </w:r>
      <w:r>
        <w:rPr>
          <w:spacing w:val="69"/>
          <w:sz w:val="18"/>
        </w:rPr>
        <w:t>  </w:t>
      </w:r>
      <w:r>
        <w:rPr>
          <w:sz w:val="18"/>
        </w:rPr>
        <w:t>Relator(a):</w:t>
      </w:r>
      <w:r>
        <w:rPr>
          <w:spacing w:val="-3"/>
          <w:sz w:val="18"/>
        </w:rPr>
        <w:t> </w:t>
      </w:r>
      <w:r>
        <w:rPr>
          <w:sz w:val="18"/>
        </w:rPr>
        <w:t>Cons.</w:t>
      </w:r>
      <w:r>
        <w:rPr>
          <w:spacing w:val="-3"/>
          <w:sz w:val="18"/>
        </w:rPr>
        <w:t> </w:t>
      </w:r>
      <w:r>
        <w:rPr>
          <w:sz w:val="18"/>
        </w:rPr>
        <w:t>Valdomiro</w:t>
      </w:r>
      <w:r>
        <w:rPr>
          <w:spacing w:val="-1"/>
          <w:sz w:val="18"/>
        </w:rPr>
        <w:t> </w:t>
      </w:r>
      <w:r>
        <w:rPr>
          <w:sz w:val="18"/>
        </w:rPr>
        <w:t>Távora.</w:t>
      </w:r>
      <w:r>
        <w:rPr>
          <w:spacing w:val="69"/>
          <w:sz w:val="18"/>
        </w:rPr>
        <w:t>  </w:t>
      </w:r>
      <w:r>
        <w:rPr>
          <w:sz w:val="18"/>
        </w:rPr>
        <w:t>Sessão</w:t>
      </w:r>
      <w:r>
        <w:rPr>
          <w:spacing w:val="-4"/>
          <w:sz w:val="18"/>
        </w:rPr>
        <w:t> </w:t>
      </w:r>
      <w:r>
        <w:rPr>
          <w:sz w:val="18"/>
        </w:rPr>
        <w:t>Pleno</w:t>
      </w:r>
      <w:r>
        <w:rPr>
          <w:spacing w:val="-3"/>
          <w:sz w:val="18"/>
        </w:rPr>
        <w:t> </w:t>
      </w:r>
      <w:r>
        <w:rPr>
          <w:sz w:val="18"/>
        </w:rPr>
        <w:t>de</w:t>
      </w:r>
      <w:r>
        <w:rPr>
          <w:spacing w:val="-1"/>
          <w:sz w:val="18"/>
        </w:rPr>
        <w:t> </w:t>
      </w:r>
      <w:r>
        <w:rPr>
          <w:sz w:val="18"/>
        </w:rPr>
        <w:t>24/06/2025.</w:t>
      </w:r>
      <w:r>
        <w:rPr>
          <w:spacing w:val="72"/>
          <w:sz w:val="18"/>
        </w:rPr>
        <w:t>  </w:t>
      </w:r>
      <w:r>
        <w:rPr>
          <w:sz w:val="18"/>
        </w:rPr>
        <w:t>Ata</w:t>
      </w:r>
      <w:r>
        <w:rPr>
          <w:spacing w:val="-2"/>
          <w:sz w:val="18"/>
        </w:rPr>
        <w:t> </w:t>
      </w:r>
      <w:r>
        <w:rPr>
          <w:sz w:val="18"/>
        </w:rPr>
        <w:t>n.º</w:t>
      </w:r>
      <w:r>
        <w:rPr>
          <w:spacing w:val="-4"/>
          <w:sz w:val="18"/>
        </w:rPr>
        <w:t> </w:t>
      </w:r>
      <w:r>
        <w:rPr>
          <w:sz w:val="18"/>
        </w:rPr>
        <w:t>237.</w:t>
      </w:r>
      <w:r>
        <w:rPr>
          <w:spacing w:val="46"/>
          <w:sz w:val="18"/>
        </w:rPr>
        <w:t>  </w:t>
      </w:r>
      <w:r>
        <w:rPr>
          <w:spacing w:val="-2"/>
          <w:sz w:val="18"/>
        </w:rPr>
        <w:t>DO:21/07/2025.</w:t>
      </w:r>
    </w:p>
    <w:p>
      <w:pPr>
        <w:pStyle w:val="BodyText"/>
        <w:spacing w:before="44"/>
      </w:pPr>
      <w:r>
        <w:rPr/>
        <mc:AlternateContent>
          <mc:Choice Requires="wps">
            <w:drawing>
              <wp:anchor distT="0" distB="0" distL="0" distR="0" allowOverlap="1" layoutInCell="1" locked="0" behindDoc="1" simplePos="0" relativeHeight="487590400">
                <wp:simplePos x="0" y="0"/>
                <wp:positionH relativeFrom="page">
                  <wp:posOffset>409575</wp:posOffset>
                </wp:positionH>
                <wp:positionV relativeFrom="paragraph">
                  <wp:posOffset>189459</wp:posOffset>
                </wp:positionV>
                <wp:extent cx="6824345" cy="432434"/>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824345" cy="432434"/>
                          <a:chExt cx="6824345" cy="432434"/>
                        </a:xfrm>
                      </wpg:grpSpPr>
                      <pic:pic>
                        <pic:nvPicPr>
                          <pic:cNvPr id="18" name="Image 18"/>
                          <pic:cNvPicPr/>
                        </pic:nvPicPr>
                        <pic:blipFill>
                          <a:blip r:embed="rId9" cstate="print"/>
                          <a:stretch>
                            <a:fillRect/>
                          </a:stretch>
                        </pic:blipFill>
                        <pic:spPr>
                          <a:xfrm>
                            <a:off x="0" y="0"/>
                            <a:ext cx="6824345" cy="432434"/>
                          </a:xfrm>
                          <a:prstGeom prst="rect">
                            <a:avLst/>
                          </a:prstGeom>
                        </pic:spPr>
                      </pic:pic>
                      <wps:wsp>
                        <wps:cNvPr id="19" name="Textbox 19"/>
                        <wps:cNvSpPr txBox="1"/>
                        <wps:spPr>
                          <a:xfrm>
                            <a:off x="0" y="0"/>
                            <a:ext cx="6824345" cy="432434"/>
                          </a:xfrm>
                          <a:prstGeom prst="rect">
                            <a:avLst/>
                          </a:prstGeom>
                        </wps:spPr>
                        <wps:txbx>
                          <w:txbxContent>
                            <w:p>
                              <w:pPr>
                                <w:spacing w:before="185"/>
                                <w:ind w:left="378" w:right="50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3784/2025</w:t>
                              </w:r>
                            </w:p>
                          </w:txbxContent>
                        </wps:txbx>
                        <wps:bodyPr wrap="square" lIns="0" tIns="0" rIns="0" bIns="0" rtlCol="0">
                          <a:noAutofit/>
                        </wps:bodyPr>
                      </wps:wsp>
                    </wpg:wgp>
                  </a:graphicData>
                </a:graphic>
              </wp:anchor>
            </w:drawing>
          </mc:Choice>
          <mc:Fallback>
            <w:pict>
              <v:group style="position:absolute;margin-left:32.25pt;margin-top:14.918066pt;width:537.35pt;height:34.050pt;mso-position-horizontal-relative:page;mso-position-vertical-relative:paragraph;z-index:-15726080;mso-wrap-distance-left:0;mso-wrap-distance-right:0" id="docshapegroup16" coordorigin="645,298" coordsize="10747,681">
                <v:shape style="position:absolute;left:645;top:298;width:10747;height:681" type="#_x0000_t75" id="docshape17" stroked="false">
                  <v:imagedata r:id="rId9" o:title=""/>
                </v:shape>
                <v:shape style="position:absolute;left:645;top:298;width:10747;height:681" type="#_x0000_t202" id="docshape18" filled="false" stroked="false">
                  <v:textbox inset="0,0,0,0">
                    <w:txbxContent>
                      <w:p>
                        <w:pPr>
                          <w:spacing w:before="185"/>
                          <w:ind w:left="378" w:right="50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3784/2025</w:t>
                        </w:r>
                      </w:p>
                    </w:txbxContent>
                  </v:textbox>
                  <w10:wrap type="none"/>
                </v:shape>
                <w10:wrap type="topAndBottom"/>
              </v:group>
            </w:pict>
          </mc:Fallback>
        </mc:AlternateContent>
      </w:r>
    </w:p>
    <w:p>
      <w:pPr>
        <w:pStyle w:val="Heading1"/>
        <w:spacing w:before="218"/>
      </w:pPr>
      <w:r>
        <w:rPr/>
        <w:t>PRESTAÇÃO DE CONTAS DE GESTÃO. RECEITA EXTRAORÇAMENTÁRIA. REPASSE A MENOR. RENDIMENTO. APLICAÇÃO FINANCEIRA. VALOR CONSIGNADO. BAIXA MATERIALIDADE. BENS PATRIMONIAIS. BEM MÓVEL. DEPRECIAÇÃO.</w:t>
      </w:r>
    </w:p>
    <w:p>
      <w:pPr>
        <w:pStyle w:val="BodyText"/>
        <w:spacing w:before="253"/>
        <w:ind w:left="157" w:right="171"/>
        <w:jc w:val="both"/>
      </w:pPr>
      <w:r>
        <w:rPr/>
        <w:t>A ausência de registro contábil relativo à depreciação, exaustão e amortização dos bens patrimoniais compromete a fidedignidade das demonstrações contábeis da entidade, em desacordo com o Manual de Contabilidade Aplicada ao Setor Público (MCASP), a NBC TSP – Estrutura Conceitual e a Portaria STN nº 634/2013, caracterizando falha de natureza formal. A realização de repasses a menor de valores consignados configura impropriedade formal, demandando recomendação corretiva à unidade gestora, com vistas à adoção de providências que assegurem a boa gestão fiscal, especialmente quanto ao cumprimento tempestivo das obrigações retidas. A Primeira Câmara Virtual</w:t>
      </w:r>
      <w:r>
        <w:rPr>
          <w:spacing w:val="16"/>
        </w:rPr>
        <w:t> </w:t>
      </w:r>
      <w:r>
        <w:rPr/>
        <w:t>do</w:t>
      </w:r>
    </w:p>
    <w:p>
      <w:pPr>
        <w:pStyle w:val="BodyText"/>
        <w:spacing w:after="0"/>
        <w:jc w:val="both"/>
        <w:sectPr>
          <w:pgSz w:w="11910" w:h="16840"/>
          <w:pgMar w:header="0" w:footer="761" w:top="1840" w:bottom="960" w:left="425" w:right="425"/>
        </w:sectPr>
      </w:pPr>
    </w:p>
    <w:p>
      <w:pPr>
        <w:pStyle w:val="BodyText"/>
        <w:spacing w:before="66"/>
        <w:ind w:left="157"/>
      </w:pPr>
      <w:r>
        <w:rPr/>
        <w:t>Tribunal</w:t>
      </w:r>
      <w:r>
        <w:rPr>
          <w:spacing w:val="25"/>
        </w:rPr>
        <w:t> </w:t>
      </w:r>
      <w:r>
        <w:rPr/>
        <w:t>de</w:t>
      </w:r>
      <w:r>
        <w:rPr>
          <w:spacing w:val="26"/>
        </w:rPr>
        <w:t> </w:t>
      </w:r>
      <w:r>
        <w:rPr/>
        <w:t>Contas</w:t>
      </w:r>
      <w:r>
        <w:rPr>
          <w:spacing w:val="25"/>
        </w:rPr>
        <w:t> </w:t>
      </w:r>
      <w:r>
        <w:rPr/>
        <w:t>do</w:t>
      </w:r>
      <w:r>
        <w:rPr>
          <w:spacing w:val="24"/>
        </w:rPr>
        <w:t> </w:t>
      </w:r>
      <w:r>
        <w:rPr/>
        <w:t>Estado</w:t>
      </w:r>
      <w:r>
        <w:rPr>
          <w:spacing w:val="26"/>
        </w:rPr>
        <w:t> </w:t>
      </w:r>
      <w:r>
        <w:rPr/>
        <w:t>do</w:t>
      </w:r>
      <w:r>
        <w:rPr>
          <w:spacing w:val="24"/>
        </w:rPr>
        <w:t> </w:t>
      </w:r>
      <w:r>
        <w:rPr/>
        <w:t>Ceará,</w:t>
      </w:r>
      <w:r>
        <w:rPr>
          <w:spacing w:val="25"/>
        </w:rPr>
        <w:t> </w:t>
      </w:r>
      <w:r>
        <w:rPr/>
        <w:t>por</w:t>
      </w:r>
      <w:r>
        <w:rPr>
          <w:spacing w:val="25"/>
        </w:rPr>
        <w:t> </w:t>
      </w:r>
      <w:r>
        <w:rPr/>
        <w:t>unanimidade</w:t>
      </w:r>
      <w:r>
        <w:rPr>
          <w:spacing w:val="24"/>
        </w:rPr>
        <w:t> </w:t>
      </w:r>
      <w:r>
        <w:rPr/>
        <w:t>de</w:t>
      </w:r>
      <w:r>
        <w:rPr>
          <w:spacing w:val="24"/>
        </w:rPr>
        <w:t> </w:t>
      </w:r>
      <w:r>
        <w:rPr/>
        <w:t>votos,</w:t>
      </w:r>
      <w:r>
        <w:rPr>
          <w:spacing w:val="25"/>
        </w:rPr>
        <w:t> </w:t>
      </w:r>
      <w:r>
        <w:rPr/>
        <w:t>julgou</w:t>
      </w:r>
      <w:r>
        <w:rPr>
          <w:spacing w:val="26"/>
        </w:rPr>
        <w:t> </w:t>
      </w:r>
      <w:r>
        <w:rPr/>
        <w:t>as</w:t>
      </w:r>
      <w:r>
        <w:rPr>
          <w:spacing w:val="25"/>
        </w:rPr>
        <w:t> </w:t>
      </w:r>
      <w:r>
        <w:rPr/>
        <w:t>contas</w:t>
      </w:r>
      <w:r>
        <w:rPr>
          <w:spacing w:val="25"/>
        </w:rPr>
        <w:t> </w:t>
      </w:r>
      <w:r>
        <w:rPr/>
        <w:t>regulares</w:t>
      </w:r>
      <w:r>
        <w:rPr>
          <w:spacing w:val="24"/>
        </w:rPr>
        <w:t> </w:t>
      </w:r>
      <w:r>
        <w:rPr/>
        <w:t>com</w:t>
      </w:r>
      <w:r>
        <w:rPr>
          <w:spacing w:val="25"/>
        </w:rPr>
        <w:t> </w:t>
      </w:r>
      <w:r>
        <w:rPr/>
        <w:t>ressalva,</w:t>
      </w:r>
      <w:r>
        <w:rPr>
          <w:spacing w:val="25"/>
        </w:rPr>
        <w:t> </w:t>
      </w:r>
      <w:r>
        <w:rPr/>
        <w:t>e,</w:t>
      </w:r>
      <w:r>
        <w:rPr>
          <w:spacing w:val="25"/>
        </w:rPr>
        <w:t> </w:t>
      </w:r>
      <w:r>
        <w:rPr/>
        <w:t>por maioria dos votos, aplicou multa e determinação pela ausência do registro da depreciação dos bens móveis.</w:t>
      </w:r>
    </w:p>
    <w:p>
      <w:pPr>
        <w:tabs>
          <w:tab w:pos="2634" w:val="left" w:leader="none"/>
          <w:tab w:pos="5444" w:val="left" w:leader="none"/>
          <w:tab w:pos="8456" w:val="left" w:leader="none"/>
        </w:tabs>
        <w:spacing w:before="229"/>
        <w:ind w:left="157" w:right="0" w:firstLine="0"/>
        <w:jc w:val="left"/>
        <w:rPr>
          <w:sz w:val="18"/>
        </w:rPr>
      </w:pPr>
      <w:r>
        <w:rPr>
          <w:sz w:val="18"/>
        </w:rPr>
        <w:t>Processo</w:t>
      </w:r>
      <w:r>
        <w:rPr>
          <w:spacing w:val="-5"/>
          <w:sz w:val="18"/>
        </w:rPr>
        <w:t> </w:t>
      </w:r>
      <w:r>
        <w:rPr>
          <w:sz w:val="18"/>
        </w:rPr>
        <w:t>n.º</w:t>
      </w:r>
      <w:r>
        <w:rPr>
          <w:spacing w:val="-4"/>
          <w:sz w:val="18"/>
        </w:rPr>
        <w:t> </w:t>
      </w:r>
      <w:r>
        <w:rPr>
          <w:sz w:val="18"/>
        </w:rPr>
        <w:t>15009/2023-</w:t>
      </w:r>
      <w:r>
        <w:rPr>
          <w:spacing w:val="-5"/>
          <w:sz w:val="18"/>
        </w:rPr>
        <w:t>7.</w:t>
      </w:r>
      <w:r>
        <w:rPr>
          <w:sz w:val="18"/>
        </w:rPr>
        <w:tab/>
        <w:t>Relator(a):</w:t>
      </w:r>
      <w:r>
        <w:rPr>
          <w:spacing w:val="-6"/>
          <w:sz w:val="18"/>
        </w:rPr>
        <w:t> </w:t>
      </w:r>
      <w:r>
        <w:rPr>
          <w:sz w:val="18"/>
        </w:rPr>
        <w:t>Auditor</w:t>
      </w:r>
      <w:r>
        <w:rPr>
          <w:spacing w:val="-6"/>
          <w:sz w:val="18"/>
        </w:rPr>
        <w:t> </w:t>
      </w:r>
      <w:r>
        <w:rPr>
          <w:sz w:val="18"/>
        </w:rPr>
        <w:t>Paulo</w:t>
      </w:r>
      <w:r>
        <w:rPr>
          <w:spacing w:val="-3"/>
          <w:sz w:val="18"/>
        </w:rPr>
        <w:t> </w:t>
      </w:r>
      <w:r>
        <w:rPr>
          <w:spacing w:val="-2"/>
          <w:sz w:val="18"/>
        </w:rPr>
        <w:t>César.</w:t>
      </w:r>
      <w:r>
        <w:rPr>
          <w:sz w:val="18"/>
        </w:rPr>
        <w:tab/>
        <w:t>Sessão</w:t>
      </w:r>
      <w:r>
        <w:rPr>
          <w:spacing w:val="-6"/>
          <w:sz w:val="18"/>
        </w:rPr>
        <w:t> </w:t>
      </w:r>
      <w:r>
        <w:rPr>
          <w:sz w:val="18"/>
        </w:rPr>
        <w:t>1ª</w:t>
      </w:r>
      <w:r>
        <w:rPr>
          <w:spacing w:val="-4"/>
          <w:sz w:val="18"/>
        </w:rPr>
        <w:t> </w:t>
      </w:r>
      <w:r>
        <w:rPr>
          <w:sz w:val="18"/>
        </w:rPr>
        <w:t>Câmara</w:t>
      </w:r>
      <w:r>
        <w:rPr>
          <w:spacing w:val="-3"/>
          <w:sz w:val="18"/>
        </w:rPr>
        <w:t> </w:t>
      </w:r>
      <w:r>
        <w:rPr>
          <w:sz w:val="18"/>
        </w:rPr>
        <w:t>de</w:t>
      </w:r>
      <w:r>
        <w:rPr>
          <w:spacing w:val="-3"/>
          <w:sz w:val="18"/>
        </w:rPr>
        <w:t> </w:t>
      </w:r>
      <w:r>
        <w:rPr>
          <w:spacing w:val="-2"/>
          <w:sz w:val="18"/>
        </w:rPr>
        <w:t>16/06/2025.</w:t>
      </w:r>
      <w:r>
        <w:rPr>
          <w:sz w:val="18"/>
        </w:rPr>
        <w:tab/>
        <w:t>Ata</w:t>
      </w:r>
      <w:r>
        <w:rPr>
          <w:spacing w:val="-5"/>
          <w:sz w:val="18"/>
        </w:rPr>
        <w:t> </w:t>
      </w:r>
      <w:r>
        <w:rPr>
          <w:sz w:val="18"/>
        </w:rPr>
        <w:t>n.º</w:t>
      </w:r>
      <w:r>
        <w:rPr>
          <w:spacing w:val="-2"/>
          <w:sz w:val="18"/>
        </w:rPr>
        <w:t> </w:t>
      </w:r>
      <w:r>
        <w:rPr>
          <w:sz w:val="18"/>
        </w:rPr>
        <w:t>236.</w:t>
      </w:r>
      <w:r>
        <w:rPr>
          <w:spacing w:val="69"/>
          <w:w w:val="150"/>
          <w:sz w:val="18"/>
        </w:rPr>
        <w:t> </w:t>
      </w:r>
      <w:r>
        <w:rPr>
          <w:sz w:val="18"/>
        </w:rPr>
        <w:t>DO:</w:t>
      </w:r>
      <w:r>
        <w:rPr>
          <w:spacing w:val="-2"/>
          <w:sz w:val="18"/>
        </w:rPr>
        <w:t> 07/07/2025.</w:t>
      </w:r>
    </w:p>
    <w:p>
      <w:pPr>
        <w:pStyle w:val="BodyText"/>
        <w:spacing w:before="9"/>
        <w:rPr>
          <w:sz w:val="17"/>
        </w:rPr>
      </w:pPr>
      <w:r>
        <w:rPr>
          <w:sz w:val="17"/>
        </w:rPr>
        <mc:AlternateContent>
          <mc:Choice Requires="wps">
            <w:drawing>
              <wp:anchor distT="0" distB="0" distL="0" distR="0" allowOverlap="1" layoutInCell="1" locked="0" behindDoc="1" simplePos="0" relativeHeight="487590912">
                <wp:simplePos x="0" y="0"/>
                <wp:positionH relativeFrom="page">
                  <wp:posOffset>366395</wp:posOffset>
                </wp:positionH>
                <wp:positionV relativeFrom="paragraph">
                  <wp:posOffset>145590</wp:posOffset>
                </wp:positionV>
                <wp:extent cx="6824345" cy="432434"/>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6824345" cy="432434"/>
                          <a:chExt cx="6824345" cy="432434"/>
                        </a:xfrm>
                      </wpg:grpSpPr>
                      <pic:pic>
                        <pic:nvPicPr>
                          <pic:cNvPr id="21" name="Image 21"/>
                          <pic:cNvPicPr/>
                        </pic:nvPicPr>
                        <pic:blipFill>
                          <a:blip r:embed="rId9" cstate="print"/>
                          <a:stretch>
                            <a:fillRect/>
                          </a:stretch>
                        </pic:blipFill>
                        <pic:spPr>
                          <a:xfrm>
                            <a:off x="0" y="0"/>
                            <a:ext cx="6824345" cy="432434"/>
                          </a:xfrm>
                          <a:prstGeom prst="rect">
                            <a:avLst/>
                          </a:prstGeom>
                        </pic:spPr>
                      </pic:pic>
                      <wps:wsp>
                        <wps:cNvPr id="22" name="Textbox 22"/>
                        <wps:cNvSpPr txBox="1"/>
                        <wps:spPr>
                          <a:xfrm>
                            <a:off x="0" y="0"/>
                            <a:ext cx="6824345" cy="432434"/>
                          </a:xfrm>
                          <a:prstGeom prst="rect">
                            <a:avLst/>
                          </a:prstGeom>
                        </wps:spPr>
                        <wps:txbx>
                          <w:txbxContent>
                            <w:p>
                              <w:pPr>
                                <w:spacing w:before="184"/>
                                <w:ind w:left="378" w:right="375"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3894/2025</w:t>
                              </w:r>
                            </w:p>
                          </w:txbxContent>
                        </wps:txbx>
                        <wps:bodyPr wrap="square" lIns="0" tIns="0" rIns="0" bIns="0" rtlCol="0">
                          <a:noAutofit/>
                        </wps:bodyPr>
                      </wps:wsp>
                    </wpg:wgp>
                  </a:graphicData>
                </a:graphic>
              </wp:anchor>
            </w:drawing>
          </mc:Choice>
          <mc:Fallback>
            <w:pict>
              <v:group style="position:absolute;margin-left:28.85pt;margin-top:11.463832pt;width:537.35pt;height:34.050pt;mso-position-horizontal-relative:page;mso-position-vertical-relative:paragraph;z-index:-15725568;mso-wrap-distance-left:0;mso-wrap-distance-right:0" id="docshapegroup19" coordorigin="577,229" coordsize="10747,681">
                <v:shape style="position:absolute;left:577;top:229;width:10747;height:681" type="#_x0000_t75" id="docshape20" stroked="false">
                  <v:imagedata r:id="rId9" o:title=""/>
                </v:shape>
                <v:shape style="position:absolute;left:577;top:229;width:10747;height:681" type="#_x0000_t202" id="docshape21" filled="false" stroked="false">
                  <v:textbox inset="0,0,0,0">
                    <w:txbxContent>
                      <w:p>
                        <w:pPr>
                          <w:spacing w:before="184"/>
                          <w:ind w:left="378" w:right="375"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3894/2025</w:t>
                        </w:r>
                      </w:p>
                    </w:txbxContent>
                  </v:textbox>
                  <w10:wrap type="none"/>
                </v:shape>
                <w10:wrap type="topAndBottom"/>
              </v:group>
            </w:pict>
          </mc:Fallback>
        </mc:AlternateContent>
      </w:r>
    </w:p>
    <w:p>
      <w:pPr>
        <w:pStyle w:val="Heading1"/>
        <w:spacing w:before="241"/>
        <w:ind w:right="165"/>
      </w:pPr>
      <w:r>
        <w:rPr/>
        <w:t>PRESTAÇÃO DE CONTAS DE GESTÃO. INVENTÁRIO DE BENS. BEM MÓVEL. BEM IMÓVEL. BEM INTANGÍVEL. DEMONSTRAÇÃO CONTÁBIL. BALANCETE. RESPONSABILIDADE CONTADOR. EXCLUSÃO.</w:t>
      </w:r>
    </w:p>
    <w:p>
      <w:pPr>
        <w:pStyle w:val="BodyText"/>
        <w:spacing w:before="275"/>
        <w:ind w:left="157" w:right="164"/>
        <w:jc w:val="both"/>
      </w:pPr>
      <w:r>
        <w:rPr/>
        <w:t>Divergência a menor entre o saldo registrado no inventário e o demonstrado no balancete/contabilidade das contas “Bens Imóveis”, “Bens Móveis” e “Bens Intangíveis”. Os esclarecimentos ofertados não foram suficientes para sanar as ocorrências, permanecendo as irregularidades. No entanto, as falhas não foram classificadas como falhas de natureza grave, haja vista que tramita nesta Corte de Contas o Termo de</w:t>
      </w:r>
      <w:r>
        <w:rPr>
          <w:spacing w:val="40"/>
        </w:rPr>
        <w:t> </w:t>
      </w:r>
      <w:r>
        <w:rPr/>
        <w:t>Ajustamento de Gestão - TAG (Processo n° 33803/2023-73), proposto em conjunto pela Secretaria do Planejamento e Gestão - SEPLAG, Procuradoria-Geral do Estado - PGE, Secretaria da Fazenda - SEFAZ, Controladoria e Ouvidoria Geral do Estado - CGE e pela Superintendência de Obras Públicas - SOP, com a finalidade de dirimir divergências encontradas na gestão dos bens públicos, no</w:t>
      </w:r>
      <w:r>
        <w:rPr>
          <w:spacing w:val="-2"/>
        </w:rPr>
        <w:t> </w:t>
      </w:r>
      <w:r>
        <w:rPr/>
        <w:t>que concerne a</w:t>
      </w:r>
      <w:r>
        <w:rPr>
          <w:spacing w:val="-2"/>
        </w:rPr>
        <w:t> </w:t>
      </w:r>
      <w:r>
        <w:rPr/>
        <w:t>guarda e</w:t>
      </w:r>
      <w:r>
        <w:rPr>
          <w:spacing w:val="-2"/>
        </w:rPr>
        <w:t> </w:t>
      </w:r>
      <w:r>
        <w:rPr/>
        <w:t>ao</w:t>
      </w:r>
      <w:r>
        <w:rPr>
          <w:spacing w:val="-2"/>
        </w:rPr>
        <w:t> </w:t>
      </w:r>
      <w:r>
        <w:rPr/>
        <w:t>controle dos</w:t>
      </w:r>
      <w:r>
        <w:rPr>
          <w:spacing w:val="-2"/>
        </w:rPr>
        <w:t> </w:t>
      </w:r>
      <w:r>
        <w:rPr/>
        <w:t>bens imóveis,</w:t>
      </w:r>
      <w:r>
        <w:rPr>
          <w:spacing w:val="-2"/>
        </w:rPr>
        <w:t> </w:t>
      </w:r>
      <w:r>
        <w:rPr/>
        <w:t>bem</w:t>
      </w:r>
      <w:r>
        <w:rPr>
          <w:spacing w:val="-1"/>
        </w:rPr>
        <w:t> </w:t>
      </w:r>
      <w:r>
        <w:rPr/>
        <w:t>como de adequar</w:t>
      </w:r>
      <w:r>
        <w:rPr>
          <w:spacing w:val="-1"/>
        </w:rPr>
        <w:t> </w:t>
      </w:r>
      <w:r>
        <w:rPr/>
        <w:t>os registros da contabilidade das unidades da administração direta e indireta do executivo estadual, de maneira que as informações sobre seus bens possam refletir de forma fidedigna a situação líquida patrimonial em seus demonstrativos contábeis. O contador foi excluído</w:t>
      </w:r>
      <w:r>
        <w:rPr>
          <w:spacing w:val="-2"/>
        </w:rPr>
        <w:t> </w:t>
      </w:r>
      <w:r>
        <w:rPr/>
        <w:t>do</w:t>
      </w:r>
      <w:r>
        <w:rPr>
          <w:spacing w:val="-2"/>
        </w:rPr>
        <w:t> </w:t>
      </w:r>
      <w:r>
        <w:rPr/>
        <w:t>polo</w:t>
      </w:r>
      <w:r>
        <w:rPr>
          <w:spacing w:val="-2"/>
        </w:rPr>
        <w:t> </w:t>
      </w:r>
      <w:r>
        <w:rPr/>
        <w:t>passivo</w:t>
      </w:r>
      <w:r>
        <w:rPr>
          <w:spacing w:val="-3"/>
        </w:rPr>
        <w:t> </w:t>
      </w:r>
      <w:r>
        <w:rPr/>
        <w:t>da</w:t>
      </w:r>
      <w:r>
        <w:rPr>
          <w:spacing w:val="-3"/>
        </w:rPr>
        <w:t> </w:t>
      </w:r>
      <w:r>
        <w:rPr/>
        <w:t>relação</w:t>
      </w:r>
      <w:r>
        <w:rPr>
          <w:spacing w:val="-2"/>
        </w:rPr>
        <w:t> </w:t>
      </w:r>
      <w:r>
        <w:rPr/>
        <w:t>processual,</w:t>
      </w:r>
      <w:r>
        <w:rPr>
          <w:spacing w:val="-2"/>
        </w:rPr>
        <w:t> </w:t>
      </w:r>
      <w:r>
        <w:rPr/>
        <w:t>por</w:t>
      </w:r>
      <w:r>
        <w:rPr>
          <w:spacing w:val="-3"/>
        </w:rPr>
        <w:t> </w:t>
      </w:r>
      <w:r>
        <w:rPr/>
        <w:t>não</w:t>
      </w:r>
      <w:r>
        <w:rPr>
          <w:spacing w:val="-2"/>
        </w:rPr>
        <w:t> </w:t>
      </w:r>
      <w:r>
        <w:rPr/>
        <w:t>ser</w:t>
      </w:r>
      <w:r>
        <w:rPr>
          <w:spacing w:val="-3"/>
        </w:rPr>
        <w:t> </w:t>
      </w:r>
      <w:r>
        <w:rPr/>
        <w:t>responsável</w:t>
      </w:r>
      <w:r>
        <w:rPr>
          <w:spacing w:val="-3"/>
        </w:rPr>
        <w:t> </w:t>
      </w:r>
      <w:r>
        <w:rPr/>
        <w:t>pela</w:t>
      </w:r>
      <w:r>
        <w:rPr>
          <w:spacing w:val="-2"/>
        </w:rPr>
        <w:t> </w:t>
      </w:r>
      <w:r>
        <w:rPr/>
        <w:t>prestação</w:t>
      </w:r>
      <w:r>
        <w:rPr>
          <w:spacing w:val="-2"/>
        </w:rPr>
        <w:t> </w:t>
      </w:r>
      <w:r>
        <w:rPr/>
        <w:t>de</w:t>
      </w:r>
      <w:r>
        <w:rPr>
          <w:spacing w:val="-2"/>
        </w:rPr>
        <w:t> </w:t>
      </w:r>
      <w:r>
        <w:rPr/>
        <w:t>contas</w:t>
      </w:r>
      <w:r>
        <w:rPr>
          <w:spacing w:val="-2"/>
        </w:rPr>
        <w:t> </w:t>
      </w:r>
      <w:r>
        <w:rPr/>
        <w:t>de</w:t>
      </w:r>
      <w:r>
        <w:rPr>
          <w:spacing w:val="-2"/>
        </w:rPr>
        <w:t> </w:t>
      </w:r>
      <w:r>
        <w:rPr/>
        <w:t>gestão</w:t>
      </w:r>
      <w:r>
        <w:rPr>
          <w:spacing w:val="-2"/>
        </w:rPr>
        <w:t> </w:t>
      </w:r>
      <w:r>
        <w:rPr/>
        <w:t>em</w:t>
      </w:r>
      <w:r>
        <w:rPr>
          <w:spacing w:val="-3"/>
        </w:rPr>
        <w:t> </w:t>
      </w:r>
      <w:r>
        <w:rPr/>
        <w:t>exame, por não integrar a Administração Pública e não gerenciar recursos públicos. As ocorrências remanescentes a ele atribuídas não resultaram em dano ao erário ou configuraram fraude nos demonstrativos contábeis. O Pleno Virtual do Tribunal de Contas do Estado do Ceará, por maioria de votos, excluiu o contador do polo passivo da relação processual e, no mérito, pelo julgamento das contas como regular com ressalva, com aplicação de multa, determinações e </w:t>
      </w:r>
      <w:r>
        <w:rPr>
          <w:spacing w:val="-2"/>
        </w:rPr>
        <w:t>recomendações.</w:t>
      </w:r>
    </w:p>
    <w:p>
      <w:pPr>
        <w:pStyle w:val="BodyText"/>
        <w:spacing w:before="1"/>
      </w:pPr>
    </w:p>
    <w:p>
      <w:pPr>
        <w:spacing w:before="0"/>
        <w:ind w:left="157" w:right="0" w:firstLine="0"/>
        <w:jc w:val="both"/>
        <w:rPr>
          <w:sz w:val="18"/>
        </w:rPr>
      </w:pPr>
      <w:r>
        <w:rPr>
          <w:sz w:val="18"/>
        </w:rPr>
        <w:t>Processo</w:t>
      </w:r>
      <w:r>
        <w:rPr>
          <w:spacing w:val="-4"/>
          <w:sz w:val="18"/>
        </w:rPr>
        <w:t> </w:t>
      </w:r>
      <w:r>
        <w:rPr>
          <w:sz w:val="18"/>
        </w:rPr>
        <w:t>n.º</w:t>
      </w:r>
      <w:r>
        <w:rPr>
          <w:spacing w:val="-2"/>
          <w:sz w:val="18"/>
        </w:rPr>
        <w:t> </w:t>
      </w:r>
      <w:r>
        <w:rPr>
          <w:sz w:val="18"/>
        </w:rPr>
        <w:t>23542/2023-9.</w:t>
      </w:r>
      <w:r>
        <w:rPr>
          <w:spacing w:val="69"/>
          <w:sz w:val="18"/>
        </w:rPr>
        <w:t>  </w:t>
      </w:r>
      <w:r>
        <w:rPr>
          <w:sz w:val="18"/>
        </w:rPr>
        <w:t>Relator(a):</w:t>
      </w:r>
      <w:r>
        <w:rPr>
          <w:spacing w:val="-3"/>
          <w:sz w:val="18"/>
        </w:rPr>
        <w:t> </w:t>
      </w:r>
      <w:r>
        <w:rPr>
          <w:sz w:val="18"/>
        </w:rPr>
        <w:t>Cons.</w:t>
      </w:r>
      <w:r>
        <w:rPr>
          <w:spacing w:val="-3"/>
          <w:sz w:val="18"/>
        </w:rPr>
        <w:t> </w:t>
      </w:r>
      <w:r>
        <w:rPr>
          <w:sz w:val="18"/>
        </w:rPr>
        <w:t>Valdomiro</w:t>
      </w:r>
      <w:r>
        <w:rPr>
          <w:spacing w:val="-1"/>
          <w:sz w:val="18"/>
        </w:rPr>
        <w:t> </w:t>
      </w:r>
      <w:r>
        <w:rPr>
          <w:sz w:val="18"/>
        </w:rPr>
        <w:t>Távora.</w:t>
      </w:r>
      <w:r>
        <w:rPr>
          <w:spacing w:val="67"/>
          <w:w w:val="150"/>
          <w:sz w:val="18"/>
        </w:rPr>
        <w:t> </w:t>
      </w:r>
      <w:r>
        <w:rPr>
          <w:sz w:val="18"/>
        </w:rPr>
        <w:t>Sessão</w:t>
      </w:r>
      <w:r>
        <w:rPr>
          <w:spacing w:val="-3"/>
          <w:sz w:val="18"/>
        </w:rPr>
        <w:t> </w:t>
      </w:r>
      <w:r>
        <w:rPr>
          <w:sz w:val="18"/>
        </w:rPr>
        <w:t>Pleno</w:t>
      </w:r>
      <w:r>
        <w:rPr>
          <w:spacing w:val="-3"/>
          <w:sz w:val="18"/>
        </w:rPr>
        <w:t> </w:t>
      </w:r>
      <w:r>
        <w:rPr>
          <w:sz w:val="18"/>
        </w:rPr>
        <w:t>de</w:t>
      </w:r>
      <w:r>
        <w:rPr>
          <w:spacing w:val="-2"/>
          <w:sz w:val="18"/>
        </w:rPr>
        <w:t> </w:t>
      </w:r>
      <w:r>
        <w:rPr>
          <w:sz w:val="18"/>
        </w:rPr>
        <w:t>16/06/2025.</w:t>
      </w:r>
      <w:r>
        <w:rPr>
          <w:spacing w:val="71"/>
          <w:w w:val="150"/>
          <w:sz w:val="18"/>
        </w:rPr>
        <w:t>  </w:t>
      </w:r>
      <w:r>
        <w:rPr>
          <w:sz w:val="18"/>
        </w:rPr>
        <w:t>Ata</w:t>
      </w:r>
      <w:r>
        <w:rPr>
          <w:spacing w:val="-2"/>
          <w:sz w:val="18"/>
        </w:rPr>
        <w:t> </w:t>
      </w:r>
      <w:r>
        <w:rPr>
          <w:sz w:val="18"/>
        </w:rPr>
        <w:t>n.º</w:t>
      </w:r>
      <w:r>
        <w:rPr>
          <w:spacing w:val="-3"/>
          <w:sz w:val="18"/>
        </w:rPr>
        <w:t> </w:t>
      </w:r>
      <w:r>
        <w:rPr>
          <w:sz w:val="18"/>
        </w:rPr>
        <w:t>236.</w:t>
      </w:r>
      <w:r>
        <w:rPr>
          <w:spacing w:val="70"/>
          <w:sz w:val="18"/>
        </w:rPr>
        <w:t>  </w:t>
      </w:r>
      <w:r>
        <w:rPr>
          <w:sz w:val="18"/>
        </w:rPr>
        <w:t>DO:</w:t>
      </w:r>
      <w:r>
        <w:rPr>
          <w:spacing w:val="-4"/>
          <w:sz w:val="18"/>
        </w:rPr>
        <w:t> </w:t>
      </w:r>
      <w:r>
        <w:rPr>
          <w:spacing w:val="-2"/>
          <w:sz w:val="18"/>
        </w:rPr>
        <w:t>07/07/2025.</w:t>
      </w:r>
    </w:p>
    <w:p>
      <w:pPr>
        <w:pStyle w:val="BodyText"/>
        <w:spacing w:before="10"/>
        <w:rPr>
          <w:sz w:val="13"/>
        </w:rPr>
      </w:pPr>
      <w:r>
        <w:rPr>
          <w:sz w:val="13"/>
        </w:rPr>
        <mc:AlternateContent>
          <mc:Choice Requires="wps">
            <w:drawing>
              <wp:anchor distT="0" distB="0" distL="0" distR="0" allowOverlap="1" layoutInCell="1" locked="0" behindDoc="1" simplePos="0" relativeHeight="487591424">
                <wp:simplePos x="0" y="0"/>
                <wp:positionH relativeFrom="page">
                  <wp:posOffset>366395</wp:posOffset>
                </wp:positionH>
                <wp:positionV relativeFrom="paragraph">
                  <wp:posOffset>117106</wp:posOffset>
                </wp:positionV>
                <wp:extent cx="6824345" cy="432434"/>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824345" cy="432434"/>
                          <a:chExt cx="6824345" cy="432434"/>
                        </a:xfrm>
                      </wpg:grpSpPr>
                      <pic:pic>
                        <pic:nvPicPr>
                          <pic:cNvPr id="24" name="Image 24"/>
                          <pic:cNvPicPr/>
                        </pic:nvPicPr>
                        <pic:blipFill>
                          <a:blip r:embed="rId9" cstate="print"/>
                          <a:stretch>
                            <a:fillRect/>
                          </a:stretch>
                        </pic:blipFill>
                        <pic:spPr>
                          <a:xfrm>
                            <a:off x="0" y="0"/>
                            <a:ext cx="6824345" cy="432435"/>
                          </a:xfrm>
                          <a:prstGeom prst="rect">
                            <a:avLst/>
                          </a:prstGeom>
                        </pic:spPr>
                      </pic:pic>
                      <wps:wsp>
                        <wps:cNvPr id="25" name="Textbox 25"/>
                        <wps:cNvSpPr txBox="1"/>
                        <wps:spPr>
                          <a:xfrm>
                            <a:off x="0" y="0"/>
                            <a:ext cx="6824345" cy="432434"/>
                          </a:xfrm>
                          <a:prstGeom prst="rect">
                            <a:avLst/>
                          </a:prstGeom>
                        </wps:spPr>
                        <wps:txbx>
                          <w:txbxContent>
                            <w:p>
                              <w:pPr>
                                <w:spacing w:before="229"/>
                                <w:ind w:left="378" w:right="374" w:firstLine="0"/>
                                <w:jc w:val="center"/>
                                <w:rPr>
                                  <w:rFonts w:ascii="Arial" w:hAnsi="Arial"/>
                                  <w:b/>
                                  <w:sz w:val="22"/>
                                </w:rPr>
                              </w:pPr>
                              <w:r>
                                <w:rPr>
                                  <w:rFonts w:ascii="Arial" w:hAnsi="Arial"/>
                                  <w:b/>
                                  <w:color w:val="FFFFFF"/>
                                  <w:sz w:val="22"/>
                                </w:rPr>
                                <w:t>PARECER</w:t>
                              </w:r>
                              <w:r>
                                <w:rPr>
                                  <w:rFonts w:ascii="Arial" w:hAnsi="Arial"/>
                                  <w:b/>
                                  <w:color w:val="FFFFFF"/>
                                  <w:spacing w:val="-1"/>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2"/>
                                  <w:sz w:val="22"/>
                                </w:rPr>
                                <w:t> 124/2025</w:t>
                              </w:r>
                            </w:p>
                          </w:txbxContent>
                        </wps:txbx>
                        <wps:bodyPr wrap="square" lIns="0" tIns="0" rIns="0" bIns="0" rtlCol="0">
                          <a:noAutofit/>
                        </wps:bodyPr>
                      </wps:wsp>
                    </wpg:wgp>
                  </a:graphicData>
                </a:graphic>
              </wp:anchor>
            </w:drawing>
          </mc:Choice>
          <mc:Fallback>
            <w:pict>
              <v:group style="position:absolute;margin-left:28.85pt;margin-top:9.220996pt;width:537.35pt;height:34.050pt;mso-position-horizontal-relative:page;mso-position-vertical-relative:paragraph;z-index:-15725056;mso-wrap-distance-left:0;mso-wrap-distance-right:0" id="docshapegroup22" coordorigin="577,184" coordsize="10747,681">
                <v:shape style="position:absolute;left:577;top:184;width:10747;height:681" type="#_x0000_t75" id="docshape23" stroked="false">
                  <v:imagedata r:id="rId9" o:title=""/>
                </v:shape>
                <v:shape style="position:absolute;left:577;top:184;width:10747;height:681" type="#_x0000_t202" id="docshape24" filled="false" stroked="false">
                  <v:textbox inset="0,0,0,0">
                    <w:txbxContent>
                      <w:p>
                        <w:pPr>
                          <w:spacing w:before="229"/>
                          <w:ind w:left="378" w:right="374" w:firstLine="0"/>
                          <w:jc w:val="center"/>
                          <w:rPr>
                            <w:rFonts w:ascii="Arial" w:hAnsi="Arial"/>
                            <w:b/>
                            <w:sz w:val="22"/>
                          </w:rPr>
                        </w:pPr>
                        <w:r>
                          <w:rPr>
                            <w:rFonts w:ascii="Arial" w:hAnsi="Arial"/>
                            <w:b/>
                            <w:color w:val="FFFFFF"/>
                            <w:sz w:val="22"/>
                          </w:rPr>
                          <w:t>PARECER</w:t>
                        </w:r>
                        <w:r>
                          <w:rPr>
                            <w:rFonts w:ascii="Arial" w:hAnsi="Arial"/>
                            <w:b/>
                            <w:color w:val="FFFFFF"/>
                            <w:spacing w:val="-1"/>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2"/>
                            <w:sz w:val="22"/>
                          </w:rPr>
                          <w:t> 124/2025</w:t>
                        </w:r>
                      </w:p>
                    </w:txbxContent>
                  </v:textbox>
                  <w10:wrap type="none"/>
                </v:shape>
                <w10:wrap type="topAndBottom"/>
              </v:group>
            </w:pict>
          </mc:Fallback>
        </mc:AlternateContent>
      </w:r>
    </w:p>
    <w:p>
      <w:pPr>
        <w:pStyle w:val="Heading1"/>
        <w:spacing w:before="216"/>
        <w:ind w:right="170"/>
      </w:pPr>
      <w:r>
        <w:rPr/>
        <w:t>PRESTAÇÃO DE CONTAS DE GOVERNO. ABERTURA DE CRÉDITO ADICIONAL. DESPESA COM PESSOAL. EDUCAÇÃO. LIMITE MÍNIMO. PANDEMIA. COVID-19.</w:t>
      </w:r>
    </w:p>
    <w:p>
      <w:pPr>
        <w:pStyle w:val="BodyText"/>
        <w:spacing w:before="243"/>
        <w:ind w:left="157" w:right="173"/>
        <w:jc w:val="both"/>
      </w:pPr>
      <w:r>
        <w:rPr/>
        <w:t>A edição de lei orçamentária que autorize abertura de créditos em momento posterior ao decreto de abertura dos créditos adicionais é falha grave e enseja emissão de parecer prévio pela desaprovação das contas, pois contraria o disposto do art. 167, V, da CF. A gravidade da falha pode ser mitigada, excepcionalmente, tendo em vista que a lei foi aprovada no mesmo mês de edição do decreto, que se trata de período da pandemia (que refletiu no ritmo de trabalho de todas as esferas de poder, incluindo os projetos de lei, perante o legislativo) e que parte dos créditos poderia ter sido aberta por meio de crédito extraordinário, pois se destinavam à área de saúde. A execução das despesas com pessoal acima dos limites previstos é ilegal (art. 20 da LRF) e ocasiona a desaprovação das contas, mas, no exercício de 2021,</w:t>
      </w:r>
      <w:r>
        <w:rPr>
          <w:spacing w:val="40"/>
        </w:rPr>
        <w:t> </w:t>
      </w:r>
      <w:r>
        <w:rPr/>
        <w:t>a falha é atenuada em razão do período de enfrentamento da pandemia do COVID-19, do reconhecido estado de calamidade pública, nos termos do Decreto Legislativo nº 543/2000 da Assembleia Estadual do Ceará, e conforme precedentes desta Corte. A aplicação de percentual inferior ao mínimo previsto na Constituição Federal na Manutenção e Desenvolvimento do Ensino (art. 212) é irregularidade grave, mas, no exercício de 2021, a ocorrência é mitigada, com base na Emenda Constitucional n° 119/2022, em razão do estado de calamidade pública causado pelo COVID-19. Emissão de Parecer Prévio pela Aprovação. Regularidade com ressalvas e recomendação.</w:t>
      </w:r>
    </w:p>
    <w:p>
      <w:pPr>
        <w:spacing w:before="207"/>
        <w:ind w:left="157" w:right="0" w:firstLine="0"/>
        <w:jc w:val="both"/>
        <w:rPr>
          <w:sz w:val="18"/>
        </w:rPr>
      </w:pPr>
      <w:r>
        <w:rPr>
          <w:sz w:val="18"/>
        </w:rPr>
        <w:t>Processo</w:t>
      </w:r>
      <w:r>
        <w:rPr>
          <w:spacing w:val="-4"/>
          <w:sz w:val="18"/>
        </w:rPr>
        <w:t> </w:t>
      </w:r>
      <w:r>
        <w:rPr>
          <w:sz w:val="18"/>
        </w:rPr>
        <w:t>n.º</w:t>
      </w:r>
      <w:r>
        <w:rPr>
          <w:spacing w:val="-2"/>
          <w:sz w:val="18"/>
        </w:rPr>
        <w:t> </w:t>
      </w:r>
      <w:r>
        <w:rPr>
          <w:sz w:val="18"/>
        </w:rPr>
        <w:t>02431/2022-9.</w:t>
      </w:r>
      <w:r>
        <w:rPr>
          <w:spacing w:val="69"/>
          <w:sz w:val="18"/>
        </w:rPr>
        <w:t>  </w:t>
      </w:r>
      <w:r>
        <w:rPr>
          <w:sz w:val="18"/>
        </w:rPr>
        <w:t>Relator(a):</w:t>
      </w:r>
      <w:r>
        <w:rPr>
          <w:spacing w:val="-3"/>
          <w:sz w:val="18"/>
        </w:rPr>
        <w:t> </w:t>
      </w:r>
      <w:r>
        <w:rPr>
          <w:sz w:val="18"/>
        </w:rPr>
        <w:t>Cons.Valdomiro</w:t>
      </w:r>
      <w:r>
        <w:rPr>
          <w:spacing w:val="-2"/>
          <w:sz w:val="18"/>
        </w:rPr>
        <w:t> </w:t>
      </w:r>
      <w:r>
        <w:rPr>
          <w:sz w:val="18"/>
        </w:rPr>
        <w:t>Távora.</w:t>
      </w:r>
      <w:r>
        <w:rPr>
          <w:spacing w:val="67"/>
          <w:w w:val="150"/>
          <w:sz w:val="18"/>
        </w:rPr>
        <w:t>  </w:t>
      </w:r>
      <w:r>
        <w:rPr>
          <w:sz w:val="18"/>
        </w:rPr>
        <w:t>Sessão</w:t>
      </w:r>
      <w:r>
        <w:rPr>
          <w:spacing w:val="-2"/>
          <w:sz w:val="18"/>
        </w:rPr>
        <w:t> </w:t>
      </w:r>
      <w:r>
        <w:rPr>
          <w:sz w:val="18"/>
        </w:rPr>
        <w:t>Pleno</w:t>
      </w:r>
      <w:r>
        <w:rPr>
          <w:spacing w:val="-3"/>
          <w:sz w:val="18"/>
        </w:rPr>
        <w:t> </w:t>
      </w:r>
      <w:r>
        <w:rPr>
          <w:sz w:val="18"/>
        </w:rPr>
        <w:t>de</w:t>
      </w:r>
      <w:r>
        <w:rPr>
          <w:spacing w:val="-2"/>
          <w:sz w:val="18"/>
        </w:rPr>
        <w:t> </w:t>
      </w:r>
      <w:r>
        <w:rPr>
          <w:sz w:val="18"/>
        </w:rPr>
        <w:t>16/06/2025.</w:t>
      </w:r>
      <w:r>
        <w:rPr>
          <w:spacing w:val="48"/>
          <w:sz w:val="18"/>
        </w:rPr>
        <w:t>  </w:t>
      </w:r>
      <w:r>
        <w:rPr>
          <w:sz w:val="18"/>
        </w:rPr>
        <w:t>Ata</w:t>
      </w:r>
      <w:r>
        <w:rPr>
          <w:spacing w:val="-3"/>
          <w:sz w:val="18"/>
        </w:rPr>
        <w:t> </w:t>
      </w:r>
      <w:r>
        <w:rPr>
          <w:sz w:val="18"/>
        </w:rPr>
        <w:t>n.º</w:t>
      </w:r>
      <w:r>
        <w:rPr>
          <w:spacing w:val="-3"/>
          <w:sz w:val="18"/>
        </w:rPr>
        <w:t> </w:t>
      </w:r>
      <w:r>
        <w:rPr>
          <w:sz w:val="18"/>
        </w:rPr>
        <w:t>236.</w:t>
      </w:r>
      <w:r>
        <w:rPr>
          <w:spacing w:val="70"/>
          <w:sz w:val="18"/>
        </w:rPr>
        <w:t>  </w:t>
      </w:r>
      <w:r>
        <w:rPr>
          <w:sz w:val="18"/>
        </w:rPr>
        <w:t>DO:</w:t>
      </w:r>
      <w:r>
        <w:rPr>
          <w:spacing w:val="-4"/>
          <w:sz w:val="18"/>
        </w:rPr>
        <w:t> </w:t>
      </w:r>
      <w:r>
        <w:rPr>
          <w:spacing w:val="-2"/>
          <w:sz w:val="18"/>
        </w:rPr>
        <w:t>07/07/2025.</w:t>
      </w:r>
    </w:p>
    <w:p>
      <w:pPr>
        <w:spacing w:after="0"/>
        <w:jc w:val="both"/>
        <w:rPr>
          <w:sz w:val="18"/>
        </w:rPr>
        <w:sectPr>
          <w:pgSz w:w="11910" w:h="16840"/>
          <w:pgMar w:header="0" w:footer="761" w:top="1840" w:bottom="960" w:left="425" w:right="425"/>
        </w:sectPr>
      </w:pPr>
    </w:p>
    <w:p>
      <w:pPr>
        <w:pStyle w:val="BodyText"/>
        <w:ind w:left="152"/>
      </w:pPr>
      <w:r>
        <w:rPr/>
        <mc:AlternateContent>
          <mc:Choice Requires="wps">
            <w:drawing>
              <wp:inline distT="0" distB="0" distL="0" distR="0">
                <wp:extent cx="6824345" cy="432434"/>
                <wp:effectExtent l="0" t="0" r="0" b="5715"/>
                <wp:docPr id="26" name="Group 26"/>
                <wp:cNvGraphicFramePr>
                  <a:graphicFrameLocks/>
                </wp:cNvGraphicFramePr>
                <a:graphic>
                  <a:graphicData uri="http://schemas.microsoft.com/office/word/2010/wordprocessingGroup">
                    <wpg:wgp>
                      <wpg:cNvPr id="26" name="Group 26"/>
                      <wpg:cNvGrpSpPr/>
                      <wpg:grpSpPr>
                        <a:xfrm>
                          <a:off x="0" y="0"/>
                          <a:ext cx="6824345" cy="432434"/>
                          <a:chExt cx="6824345" cy="432434"/>
                        </a:xfrm>
                      </wpg:grpSpPr>
                      <pic:pic>
                        <pic:nvPicPr>
                          <pic:cNvPr id="27" name="Image 27"/>
                          <pic:cNvPicPr/>
                        </pic:nvPicPr>
                        <pic:blipFill>
                          <a:blip r:embed="rId9" cstate="print"/>
                          <a:stretch>
                            <a:fillRect/>
                          </a:stretch>
                        </pic:blipFill>
                        <pic:spPr>
                          <a:xfrm>
                            <a:off x="0" y="0"/>
                            <a:ext cx="6824345" cy="432434"/>
                          </a:xfrm>
                          <a:prstGeom prst="rect">
                            <a:avLst/>
                          </a:prstGeom>
                        </pic:spPr>
                      </pic:pic>
                      <wps:wsp>
                        <wps:cNvPr id="28" name="Textbox 28"/>
                        <wps:cNvSpPr txBox="1"/>
                        <wps:spPr>
                          <a:xfrm>
                            <a:off x="0" y="0"/>
                            <a:ext cx="6824345" cy="432434"/>
                          </a:xfrm>
                          <a:prstGeom prst="rect">
                            <a:avLst/>
                          </a:prstGeom>
                        </wps:spPr>
                        <wps:txbx>
                          <w:txbxContent>
                            <w:p>
                              <w:pPr>
                                <w:spacing w:line="240" w:lineRule="auto" w:before="1"/>
                                <w:rPr>
                                  <w:sz w:val="22"/>
                                </w:rPr>
                              </w:pPr>
                            </w:p>
                            <w:p>
                              <w:pPr>
                                <w:spacing w:before="0"/>
                                <w:ind w:left="378" w:right="375"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3791/2025</w:t>
                              </w:r>
                            </w:p>
                          </w:txbxContent>
                        </wps:txbx>
                        <wps:bodyPr wrap="square" lIns="0" tIns="0" rIns="0" bIns="0" rtlCol="0">
                          <a:noAutofit/>
                        </wps:bodyPr>
                      </wps:wsp>
                    </wpg:wgp>
                  </a:graphicData>
                </a:graphic>
              </wp:inline>
            </w:drawing>
          </mc:Choice>
          <mc:Fallback>
            <w:pict>
              <v:group style="width:537.35pt;height:34.050pt;mso-position-horizontal-relative:char;mso-position-vertical-relative:line" id="docshapegroup25" coordorigin="0,0" coordsize="10747,681">
                <v:shape style="position:absolute;left:0;top:0;width:10747;height:681" type="#_x0000_t75" id="docshape26" stroked="false">
                  <v:imagedata r:id="rId9" o:title=""/>
                </v:shape>
                <v:shape style="position:absolute;left:0;top:0;width:10747;height:681" type="#_x0000_t202" id="docshape27" filled="false" stroked="false">
                  <v:textbox inset="0,0,0,0">
                    <w:txbxContent>
                      <w:p>
                        <w:pPr>
                          <w:spacing w:line="240" w:lineRule="auto" w:before="1"/>
                          <w:rPr>
                            <w:sz w:val="22"/>
                          </w:rPr>
                        </w:pPr>
                      </w:p>
                      <w:p>
                        <w:pPr>
                          <w:spacing w:before="0"/>
                          <w:ind w:left="378" w:right="375"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3791/2025</w:t>
                        </w:r>
                      </w:p>
                    </w:txbxContent>
                  </v:textbox>
                  <w10:wrap type="none"/>
                </v:shape>
              </v:group>
            </w:pict>
          </mc:Fallback>
        </mc:AlternateContent>
      </w:r>
      <w:r>
        <w:rPr/>
      </w:r>
    </w:p>
    <w:p>
      <w:pPr>
        <w:pStyle w:val="Heading1"/>
        <w:spacing w:before="238"/>
        <w:ind w:right="157"/>
      </w:pPr>
      <w:r>
        <w:rPr/>
        <w:t>PRESTAÇÃO DE CONTAS DE GESTÃO. FUNDO MUNICIPAL DE DESENVOLVIMENTO DA EDUCAÇÃO BÁSICA – FUNDEB. RECEITA EXTRAORÇAMENTÁRIA. CONTRIBUIÇÃO PREVIDENCIÁRIA. REPASSE A MENOR. VATT. APLICAÇÃO EDUCAÇÃO INFANTIL. COMPETÊNCIA DA UNIÃO PARA FISCALIZAR.</w:t>
      </w:r>
    </w:p>
    <w:p>
      <w:pPr>
        <w:pStyle w:val="BodyText"/>
        <w:spacing w:before="207"/>
        <w:ind w:left="157" w:right="171"/>
        <w:jc w:val="both"/>
      </w:pPr>
      <w:r>
        <w:rPr/>
        <w:t>O repasse a menor de valores consignados configura irregularidade passível de ensejar a aplicação de multa e o julgamento irregular das contas. Sendo ingressos extraorçamentários, os valores consignados não se incorporam ao patrimônio da entidade, mas apenas transitam momentaneamente por ele e, por isso, o administrador público não pode dispor deles. Não cabe aos Tribunais de Contas Estaduais a verificação do cumprimento das regras estabelecidas nos arts. 27 e 28 da Lei nº 14.113/2020 (Novo Fundeb), uma vez que diz respeito à aplicação de recursos provenientes da Complementação do Valor Anual Total por Aluno (VAAT), advindos do governo federal, cuja fiscalização compete ao Tribunal de Contas da União nos termos do art. 30, III da referida lei e segundo decisão do Supremo Tribunal Federal (ADI – 5791/DF). A Primeira Câmara Virtual do Tribunal de Contas do Estado do Ceará, por unanimidade de votos, diante das razões expostas pelo relator, julgou irregulares as contas com aplicação de multa.</w:t>
      </w:r>
    </w:p>
    <w:p>
      <w:pPr>
        <w:spacing w:before="207"/>
        <w:ind w:left="157" w:right="0" w:firstLine="0"/>
        <w:jc w:val="both"/>
        <w:rPr>
          <w:sz w:val="18"/>
        </w:rPr>
      </w:pPr>
      <w:r>
        <w:rPr>
          <w:sz w:val="18"/>
        </w:rPr>
        <w:t>Processo</w:t>
      </w:r>
      <w:r>
        <w:rPr>
          <w:spacing w:val="-4"/>
          <w:sz w:val="18"/>
        </w:rPr>
        <w:t> </w:t>
      </w:r>
      <w:r>
        <w:rPr>
          <w:sz w:val="18"/>
        </w:rPr>
        <w:t>n.º</w:t>
      </w:r>
      <w:r>
        <w:rPr>
          <w:spacing w:val="-3"/>
          <w:sz w:val="18"/>
        </w:rPr>
        <w:t> </w:t>
      </w:r>
      <w:r>
        <w:rPr>
          <w:sz w:val="18"/>
        </w:rPr>
        <w:t>17296/2022-6.</w:t>
      </w:r>
      <w:r>
        <w:rPr>
          <w:spacing w:val="45"/>
          <w:sz w:val="18"/>
        </w:rPr>
        <w:t>  </w:t>
      </w:r>
      <w:r>
        <w:rPr>
          <w:sz w:val="18"/>
        </w:rPr>
        <w:t>Relator(a):</w:t>
      </w:r>
      <w:r>
        <w:rPr>
          <w:spacing w:val="-2"/>
          <w:sz w:val="18"/>
        </w:rPr>
        <w:t> </w:t>
      </w:r>
      <w:r>
        <w:rPr>
          <w:sz w:val="18"/>
        </w:rPr>
        <w:t>Auditor</w:t>
      </w:r>
      <w:r>
        <w:rPr>
          <w:spacing w:val="-3"/>
          <w:sz w:val="18"/>
        </w:rPr>
        <w:t> </w:t>
      </w:r>
      <w:r>
        <w:rPr>
          <w:sz w:val="18"/>
        </w:rPr>
        <w:t>Paulo</w:t>
      </w:r>
      <w:r>
        <w:rPr>
          <w:spacing w:val="-1"/>
          <w:sz w:val="18"/>
        </w:rPr>
        <w:t> </w:t>
      </w:r>
      <w:r>
        <w:rPr>
          <w:sz w:val="18"/>
        </w:rPr>
        <w:t>César.</w:t>
      </w:r>
      <w:r>
        <w:rPr>
          <w:spacing w:val="69"/>
          <w:sz w:val="18"/>
        </w:rPr>
        <w:t>  </w:t>
      </w:r>
      <w:r>
        <w:rPr>
          <w:sz w:val="18"/>
        </w:rPr>
        <w:t>Sessão</w:t>
      </w:r>
      <w:r>
        <w:rPr>
          <w:spacing w:val="-3"/>
          <w:sz w:val="18"/>
        </w:rPr>
        <w:t> </w:t>
      </w:r>
      <w:r>
        <w:rPr>
          <w:sz w:val="18"/>
        </w:rPr>
        <w:t>1ª</w:t>
      </w:r>
      <w:r>
        <w:rPr>
          <w:spacing w:val="-3"/>
          <w:sz w:val="18"/>
        </w:rPr>
        <w:t> </w:t>
      </w:r>
      <w:r>
        <w:rPr>
          <w:sz w:val="18"/>
        </w:rPr>
        <w:t>Câmara</w:t>
      </w:r>
      <w:r>
        <w:rPr>
          <w:spacing w:val="-1"/>
          <w:sz w:val="18"/>
        </w:rPr>
        <w:t> </w:t>
      </w:r>
      <w:r>
        <w:rPr>
          <w:sz w:val="18"/>
        </w:rPr>
        <w:t>de</w:t>
      </w:r>
      <w:r>
        <w:rPr>
          <w:spacing w:val="-3"/>
          <w:sz w:val="18"/>
        </w:rPr>
        <w:t> </w:t>
      </w:r>
      <w:r>
        <w:rPr>
          <w:sz w:val="18"/>
        </w:rPr>
        <w:t>16/06/2025.</w:t>
      </w:r>
      <w:r>
        <w:rPr>
          <w:spacing w:val="48"/>
          <w:sz w:val="18"/>
        </w:rPr>
        <w:t>  </w:t>
      </w:r>
      <w:r>
        <w:rPr>
          <w:sz w:val="18"/>
        </w:rPr>
        <w:t>Ata</w:t>
      </w:r>
      <w:r>
        <w:rPr>
          <w:spacing w:val="-3"/>
          <w:sz w:val="18"/>
        </w:rPr>
        <w:t> </w:t>
      </w:r>
      <w:r>
        <w:rPr>
          <w:sz w:val="18"/>
        </w:rPr>
        <w:t>n.º</w:t>
      </w:r>
      <w:r>
        <w:rPr>
          <w:spacing w:val="-3"/>
          <w:sz w:val="18"/>
        </w:rPr>
        <w:t> </w:t>
      </w:r>
      <w:r>
        <w:rPr>
          <w:sz w:val="18"/>
        </w:rPr>
        <w:t>236.</w:t>
      </w:r>
      <w:r>
        <w:rPr>
          <w:spacing w:val="68"/>
          <w:w w:val="150"/>
          <w:sz w:val="18"/>
        </w:rPr>
        <w:t> </w:t>
      </w:r>
      <w:r>
        <w:rPr>
          <w:sz w:val="18"/>
        </w:rPr>
        <w:t>DO:</w:t>
      </w:r>
      <w:r>
        <w:rPr>
          <w:spacing w:val="-4"/>
          <w:sz w:val="18"/>
        </w:rPr>
        <w:t> </w:t>
      </w:r>
      <w:r>
        <w:rPr>
          <w:spacing w:val="-2"/>
          <w:sz w:val="18"/>
        </w:rPr>
        <w:t>07/07/2025.</w:t>
      </w:r>
    </w:p>
    <w:p>
      <w:pPr>
        <w:pStyle w:val="BodyText"/>
        <w:spacing w:before="24"/>
      </w:pPr>
      <w:r>
        <w:rPr/>
        <mc:AlternateContent>
          <mc:Choice Requires="wps">
            <w:drawing>
              <wp:anchor distT="0" distB="0" distL="0" distR="0" allowOverlap="1" layoutInCell="1" locked="0" behindDoc="1" simplePos="0" relativeHeight="487592448">
                <wp:simplePos x="0" y="0"/>
                <wp:positionH relativeFrom="page">
                  <wp:posOffset>271145</wp:posOffset>
                </wp:positionH>
                <wp:positionV relativeFrom="paragraph">
                  <wp:posOffset>176852</wp:posOffset>
                </wp:positionV>
                <wp:extent cx="6824345" cy="432434"/>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824345" cy="432434"/>
                          <a:chExt cx="6824345" cy="432434"/>
                        </a:xfrm>
                      </wpg:grpSpPr>
                      <pic:pic>
                        <pic:nvPicPr>
                          <pic:cNvPr id="30" name="Image 30"/>
                          <pic:cNvPicPr/>
                        </pic:nvPicPr>
                        <pic:blipFill>
                          <a:blip r:embed="rId9" cstate="print"/>
                          <a:stretch>
                            <a:fillRect/>
                          </a:stretch>
                        </pic:blipFill>
                        <pic:spPr>
                          <a:xfrm>
                            <a:off x="0" y="0"/>
                            <a:ext cx="6824345" cy="432435"/>
                          </a:xfrm>
                          <a:prstGeom prst="rect">
                            <a:avLst/>
                          </a:prstGeom>
                        </pic:spPr>
                      </pic:pic>
                      <wps:wsp>
                        <wps:cNvPr id="31" name="Textbox 31"/>
                        <wps:cNvSpPr txBox="1"/>
                        <wps:spPr>
                          <a:xfrm>
                            <a:off x="0" y="0"/>
                            <a:ext cx="6824345" cy="432434"/>
                          </a:xfrm>
                          <a:prstGeom prst="rect">
                            <a:avLst/>
                          </a:prstGeom>
                        </wps:spPr>
                        <wps:txbx>
                          <w:txbxContent>
                            <w:p>
                              <w:pPr>
                                <w:spacing w:before="217"/>
                                <w:ind w:left="433" w:right="13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3660/2025</w:t>
                              </w:r>
                            </w:p>
                          </w:txbxContent>
                        </wps:txbx>
                        <wps:bodyPr wrap="square" lIns="0" tIns="0" rIns="0" bIns="0" rtlCol="0">
                          <a:noAutofit/>
                        </wps:bodyPr>
                      </wps:wsp>
                    </wpg:wgp>
                  </a:graphicData>
                </a:graphic>
              </wp:anchor>
            </w:drawing>
          </mc:Choice>
          <mc:Fallback>
            <w:pict>
              <v:group style="position:absolute;margin-left:21.35pt;margin-top:13.925356pt;width:537.35pt;height:34.050pt;mso-position-horizontal-relative:page;mso-position-vertical-relative:paragraph;z-index:-15724032;mso-wrap-distance-left:0;mso-wrap-distance-right:0" id="docshapegroup28" coordorigin="427,279" coordsize="10747,681">
                <v:shape style="position:absolute;left:427;top:278;width:10747;height:681" type="#_x0000_t75" id="docshape29" stroked="false">
                  <v:imagedata r:id="rId9" o:title=""/>
                </v:shape>
                <v:shape style="position:absolute;left:427;top:278;width:10747;height:681" type="#_x0000_t202" id="docshape30" filled="false" stroked="false">
                  <v:textbox inset="0,0,0,0">
                    <w:txbxContent>
                      <w:p>
                        <w:pPr>
                          <w:spacing w:before="217"/>
                          <w:ind w:left="433" w:right="13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3660/2025</w:t>
                        </w:r>
                      </w:p>
                    </w:txbxContent>
                  </v:textbox>
                  <w10:wrap type="none"/>
                </v:shape>
                <w10:wrap type="topAndBottom"/>
              </v:group>
            </w:pict>
          </mc:Fallback>
        </mc:AlternateContent>
      </w:r>
    </w:p>
    <w:p>
      <w:pPr>
        <w:pStyle w:val="BodyText"/>
        <w:spacing w:before="19"/>
        <w:rPr>
          <w:sz w:val="24"/>
        </w:rPr>
      </w:pPr>
    </w:p>
    <w:p>
      <w:pPr>
        <w:pStyle w:val="Heading1"/>
        <w:ind w:right="171"/>
      </w:pPr>
      <w:r>
        <w:rPr/>
        <w:t>CONSULTA. AGENTE POLÍTICO. VEREADOR. LICENCIAMENTO. MANDATO ELETIVO. REMUNERAÇÃO. PAGAMENTO SUBSÍDIO. RESPONSABILIDADE. PODER LEGISLATIVO.</w:t>
      </w:r>
    </w:p>
    <w:p>
      <w:pPr>
        <w:pStyle w:val="BodyText"/>
        <w:spacing w:before="207"/>
        <w:ind w:left="157" w:right="171"/>
        <w:jc w:val="both"/>
      </w:pPr>
      <w:r>
        <w:rPr/>
        <w:t>Consulta acerca da possibilidade das Câmaras Municipais arcarem com o ônus de pagar subsídios de vereadores investidos no cargo de secretário municipal que optaram pela remuneração relativa ao mandato eletivo. E se é possível</w:t>
      </w:r>
      <w:r>
        <w:rPr>
          <w:spacing w:val="40"/>
        </w:rPr>
        <w:t> </w:t>
      </w:r>
      <w:r>
        <w:rPr/>
        <w:t>a criação de legislação municipal que estabeleça critérios de compensação ou desembolso entre os Poderes Executivo</w:t>
      </w:r>
      <w:r>
        <w:rPr>
          <w:spacing w:val="40"/>
        </w:rPr>
        <w:t> </w:t>
      </w:r>
      <w:r>
        <w:rPr/>
        <w:t>e Legislativo, ou apenas o planejamento financeiro e orçamentário anual que vise redução dos prejuízos financeiros decorrentes. O Pleno Virtual do Tribunal de Contas do Estado do Ceará, por unanimidade dos votos, respondeu quanto ao mérito, nos seguintes termos: 1) É possível que um vereador se licencie do mandato eletivo para exercer o cargo de secretário municipal, optando pela remuneração do cargo eletivo, desde que haja previsão expressa na Lei Orgânica do município, nos</w:t>
      </w:r>
      <w:r>
        <w:rPr>
          <w:spacing w:val="-2"/>
        </w:rPr>
        <w:t> </w:t>
      </w:r>
      <w:r>
        <w:rPr/>
        <w:t>moldes do</w:t>
      </w:r>
      <w:r>
        <w:rPr>
          <w:spacing w:val="-2"/>
        </w:rPr>
        <w:t> </w:t>
      </w:r>
      <w:r>
        <w:rPr/>
        <w:t>art.</w:t>
      </w:r>
      <w:r>
        <w:rPr>
          <w:spacing w:val="-2"/>
        </w:rPr>
        <w:t> </w:t>
      </w:r>
      <w:r>
        <w:rPr/>
        <w:t>56,</w:t>
      </w:r>
      <w:r>
        <w:rPr>
          <w:spacing w:val="-2"/>
        </w:rPr>
        <w:t> </w:t>
      </w:r>
      <w:r>
        <w:rPr/>
        <w:t>inciso</w:t>
      </w:r>
      <w:r>
        <w:rPr>
          <w:spacing w:val="-2"/>
        </w:rPr>
        <w:t> </w:t>
      </w:r>
      <w:r>
        <w:rPr/>
        <w:t>I, §</w:t>
      </w:r>
      <w:r>
        <w:rPr>
          <w:spacing w:val="-3"/>
        </w:rPr>
        <w:t> </w:t>
      </w:r>
      <w:r>
        <w:rPr/>
        <w:t>3º, da</w:t>
      </w:r>
      <w:r>
        <w:rPr>
          <w:spacing w:val="-2"/>
        </w:rPr>
        <w:t> </w:t>
      </w:r>
      <w:r>
        <w:rPr/>
        <w:t>CF/88,</w:t>
      </w:r>
      <w:r>
        <w:rPr>
          <w:spacing w:val="-2"/>
        </w:rPr>
        <w:t> </w:t>
      </w:r>
      <w:r>
        <w:rPr/>
        <w:t>e</w:t>
      </w:r>
      <w:r>
        <w:rPr>
          <w:spacing w:val="-2"/>
        </w:rPr>
        <w:t> </w:t>
      </w:r>
      <w:r>
        <w:rPr/>
        <w:t>do</w:t>
      </w:r>
      <w:r>
        <w:rPr>
          <w:spacing w:val="-3"/>
        </w:rPr>
        <w:t> </w:t>
      </w:r>
      <w:r>
        <w:rPr/>
        <w:t>art.</w:t>
      </w:r>
      <w:r>
        <w:rPr>
          <w:spacing w:val="-2"/>
        </w:rPr>
        <w:t> </w:t>
      </w:r>
      <w:r>
        <w:rPr/>
        <w:t>54,</w:t>
      </w:r>
      <w:r>
        <w:rPr>
          <w:spacing w:val="-2"/>
        </w:rPr>
        <w:t> </w:t>
      </w:r>
      <w:r>
        <w:rPr/>
        <w:t>inciso</w:t>
      </w:r>
      <w:r>
        <w:rPr>
          <w:spacing w:val="-2"/>
        </w:rPr>
        <w:t> </w:t>
      </w:r>
      <w:r>
        <w:rPr/>
        <w:t>I,</w:t>
      </w:r>
      <w:r>
        <w:rPr>
          <w:spacing w:val="-2"/>
        </w:rPr>
        <w:t> </w:t>
      </w:r>
      <w:r>
        <w:rPr/>
        <w:t>§</w:t>
      </w:r>
      <w:r>
        <w:rPr>
          <w:spacing w:val="-2"/>
        </w:rPr>
        <w:t> </w:t>
      </w:r>
      <w:r>
        <w:rPr/>
        <w:t>3º,</w:t>
      </w:r>
      <w:r>
        <w:rPr>
          <w:spacing w:val="-2"/>
        </w:rPr>
        <w:t> </w:t>
      </w:r>
      <w:r>
        <w:rPr/>
        <w:t>da</w:t>
      </w:r>
      <w:r>
        <w:rPr>
          <w:spacing w:val="-2"/>
        </w:rPr>
        <w:t> </w:t>
      </w:r>
      <w:r>
        <w:rPr/>
        <w:t>Constituição do</w:t>
      </w:r>
      <w:r>
        <w:rPr>
          <w:spacing w:val="-2"/>
        </w:rPr>
        <w:t> </w:t>
      </w:r>
      <w:r>
        <w:rPr/>
        <w:t>Estado do</w:t>
      </w:r>
      <w:r>
        <w:rPr>
          <w:spacing w:val="-2"/>
        </w:rPr>
        <w:t> </w:t>
      </w:r>
      <w:r>
        <w:rPr/>
        <w:t>Ceará; e</w:t>
      </w:r>
      <w:r>
        <w:rPr>
          <w:spacing w:val="-2"/>
        </w:rPr>
        <w:t> </w:t>
      </w:r>
      <w:r>
        <w:rPr/>
        <w:t>2)</w:t>
      </w:r>
      <w:r>
        <w:rPr>
          <w:spacing w:val="-1"/>
        </w:rPr>
        <w:t> </w:t>
      </w:r>
      <w:r>
        <w:rPr/>
        <w:t>Caso o</w:t>
      </w:r>
      <w:r>
        <w:rPr>
          <w:spacing w:val="-2"/>
        </w:rPr>
        <w:t> </w:t>
      </w:r>
      <w:r>
        <w:rPr/>
        <w:t>agente político opte</w:t>
      </w:r>
      <w:r>
        <w:rPr>
          <w:spacing w:val="-2"/>
        </w:rPr>
        <w:t> </w:t>
      </w:r>
      <w:r>
        <w:rPr/>
        <w:t>pela remuneração parlamentar, o</w:t>
      </w:r>
      <w:r>
        <w:rPr>
          <w:spacing w:val="-2"/>
        </w:rPr>
        <w:t> </w:t>
      </w:r>
      <w:r>
        <w:rPr/>
        <w:t>pagamento</w:t>
      </w:r>
      <w:r>
        <w:rPr>
          <w:spacing w:val="-2"/>
        </w:rPr>
        <w:t> </w:t>
      </w:r>
      <w:r>
        <w:rPr/>
        <w:t>do</w:t>
      </w:r>
      <w:r>
        <w:rPr>
          <w:spacing w:val="-2"/>
        </w:rPr>
        <w:t> </w:t>
      </w:r>
      <w:r>
        <w:rPr/>
        <w:t>subsídio</w:t>
      </w:r>
      <w:r>
        <w:rPr>
          <w:spacing w:val="-2"/>
        </w:rPr>
        <w:t> </w:t>
      </w:r>
      <w:r>
        <w:rPr/>
        <w:t>devido ao vereador</w:t>
      </w:r>
      <w:r>
        <w:rPr>
          <w:spacing w:val="-1"/>
        </w:rPr>
        <w:t> </w:t>
      </w:r>
      <w:r>
        <w:rPr/>
        <w:t>licenciado para exercer o cargo de secretário municipal será, via de regra, de responsabilidade integral da Câmara Municipal, não cabendo ao executivo qualquer recomposição de valores. Tal regra comporta exceção na hipótese de haver previsão expressa na Lei Orgânica do município, que poderá dispor em sentido diverso — atribuindo ao executivo a responsabilidade pelo pagamento — ou, ainda, estabelecendo mecanismos de compensação entre os poderes legislativo e executivo. Em qualquer caso, sem prejuízo de adoção de medidas de planejamento que assegurem o equilíbrio financeiro e orçamentário do legislativo municipal.</w:t>
      </w:r>
    </w:p>
    <w:p>
      <w:pPr>
        <w:spacing w:before="207"/>
        <w:ind w:left="157" w:right="0" w:firstLine="0"/>
        <w:jc w:val="both"/>
        <w:rPr>
          <w:sz w:val="18"/>
        </w:rPr>
      </w:pPr>
      <w:r>
        <w:rPr>
          <w:sz w:val="18"/>
        </w:rPr>
        <w:t>Processo</w:t>
      </w:r>
      <w:r>
        <w:rPr>
          <w:spacing w:val="-3"/>
          <w:sz w:val="18"/>
        </w:rPr>
        <w:t> </w:t>
      </w:r>
      <w:r>
        <w:rPr>
          <w:sz w:val="18"/>
        </w:rPr>
        <w:t>n.º</w:t>
      </w:r>
      <w:r>
        <w:rPr>
          <w:spacing w:val="-3"/>
          <w:sz w:val="18"/>
        </w:rPr>
        <w:t> </w:t>
      </w:r>
      <w:r>
        <w:rPr>
          <w:sz w:val="18"/>
        </w:rPr>
        <w:t>05631/2025-0.</w:t>
      </w:r>
      <w:r>
        <w:rPr>
          <w:spacing w:val="68"/>
          <w:w w:val="150"/>
          <w:sz w:val="18"/>
        </w:rPr>
        <w:t>  </w:t>
      </w:r>
      <w:r>
        <w:rPr>
          <w:sz w:val="18"/>
        </w:rPr>
        <w:t>Relator(a):</w:t>
      </w:r>
      <w:r>
        <w:rPr>
          <w:spacing w:val="-2"/>
          <w:sz w:val="18"/>
        </w:rPr>
        <w:t> </w:t>
      </w:r>
      <w:r>
        <w:rPr>
          <w:sz w:val="18"/>
        </w:rPr>
        <w:t>Cons.</w:t>
      </w:r>
      <w:r>
        <w:rPr>
          <w:spacing w:val="-3"/>
          <w:sz w:val="18"/>
        </w:rPr>
        <w:t> </w:t>
      </w:r>
      <w:r>
        <w:rPr>
          <w:sz w:val="18"/>
        </w:rPr>
        <w:t>Ernesto</w:t>
      </w:r>
      <w:r>
        <w:rPr>
          <w:spacing w:val="-1"/>
          <w:sz w:val="18"/>
        </w:rPr>
        <w:t> </w:t>
      </w:r>
      <w:r>
        <w:rPr>
          <w:sz w:val="18"/>
        </w:rPr>
        <w:t>Saboia.</w:t>
      </w:r>
      <w:r>
        <w:rPr>
          <w:spacing w:val="68"/>
          <w:w w:val="150"/>
          <w:sz w:val="18"/>
        </w:rPr>
        <w:t>  </w:t>
      </w:r>
      <w:r>
        <w:rPr>
          <w:sz w:val="18"/>
        </w:rPr>
        <w:t>Sessão</w:t>
      </w:r>
      <w:r>
        <w:rPr>
          <w:spacing w:val="-2"/>
          <w:sz w:val="18"/>
        </w:rPr>
        <w:t> </w:t>
      </w:r>
      <w:r>
        <w:rPr>
          <w:sz w:val="18"/>
        </w:rPr>
        <w:t>Pleno</w:t>
      </w:r>
      <w:r>
        <w:rPr>
          <w:spacing w:val="-3"/>
          <w:sz w:val="18"/>
        </w:rPr>
        <w:t> </w:t>
      </w:r>
      <w:r>
        <w:rPr>
          <w:sz w:val="18"/>
        </w:rPr>
        <w:t>de</w:t>
      </w:r>
      <w:r>
        <w:rPr>
          <w:spacing w:val="-1"/>
          <w:sz w:val="18"/>
        </w:rPr>
        <w:t> </w:t>
      </w:r>
      <w:r>
        <w:rPr>
          <w:sz w:val="18"/>
        </w:rPr>
        <w:t>02/06/2025.</w:t>
      </w:r>
      <w:r>
        <w:rPr>
          <w:spacing w:val="72"/>
          <w:w w:val="150"/>
          <w:sz w:val="18"/>
        </w:rPr>
        <w:t>  </w:t>
      </w:r>
      <w:r>
        <w:rPr>
          <w:sz w:val="18"/>
        </w:rPr>
        <w:t>Ata</w:t>
      </w:r>
      <w:r>
        <w:rPr>
          <w:spacing w:val="-2"/>
          <w:sz w:val="18"/>
        </w:rPr>
        <w:t> </w:t>
      </w:r>
      <w:r>
        <w:rPr>
          <w:sz w:val="18"/>
        </w:rPr>
        <w:t>n.º</w:t>
      </w:r>
      <w:r>
        <w:rPr>
          <w:spacing w:val="-3"/>
          <w:sz w:val="18"/>
        </w:rPr>
        <w:t> </w:t>
      </w:r>
      <w:r>
        <w:rPr>
          <w:sz w:val="18"/>
        </w:rPr>
        <w:t>235.</w:t>
      </w:r>
      <w:r>
        <w:rPr>
          <w:spacing w:val="70"/>
          <w:sz w:val="18"/>
        </w:rPr>
        <w:t>  </w:t>
      </w:r>
      <w:r>
        <w:rPr>
          <w:spacing w:val="-2"/>
          <w:sz w:val="18"/>
        </w:rPr>
        <w:t>DO:25/06/2025.</w:t>
      </w:r>
    </w:p>
    <w:sectPr>
      <w:pgSz w:w="11910" w:h="16840"/>
      <w:pgMar w:header="0" w:footer="761" w:top="1920" w:bottom="96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06432">
          <wp:simplePos x="0" y="0"/>
          <wp:positionH relativeFrom="page">
            <wp:posOffset>17779</wp:posOffset>
          </wp:positionH>
          <wp:positionV relativeFrom="page">
            <wp:posOffset>10081904</wp:posOffset>
          </wp:positionV>
          <wp:extent cx="7541259" cy="5822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295"/>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
      <w:ind w:left="157" w:right="156"/>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2025-10-06T13:59:27Z</dcterms:created>
  <dcterms:modified xsi:type="dcterms:W3CDTF">2025-10-06T13:59:27Z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2025-09-03T00:00:00Z</vt:filetime>
  </property>
</Properties>
</file>