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61086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610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3"/>
        <w:rPr>
          <w:rFonts w:ascii="Times New Roman"/>
        </w:rPr>
      </w:pPr>
    </w:p>
    <w:p>
      <w:pPr>
        <w:pStyle w:val="BodyText"/>
        <w:ind w:left="26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677025" cy="1605280"/>
                <wp:effectExtent l="0" t="0" r="0" b="4444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677025" cy="1605280"/>
                          <a:chExt cx="6677025" cy="160528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644" cy="160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677025" cy="160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180"/>
                                <w:ind w:left="172" w:right="140" w:firstLine="0"/>
                                <w:jc w:val="both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Este Informativo contém informações de decisões proferidas pelos Colegiados do TCE, que receberam indicação de relevância sob o prisma jurisprudencial no período de julho de 2025. As informações aqui apresentadas não constituem, todavia, o resumo oficial da decisão proferida pelo Tribunal nem representam, necessariamente, o posicionamento prevalente do TCE. O objetivo é facilitar ao interessado o acompanhamento dos acórdãos mais importantes do Tribunal. Para aprofundamento, o leitor pode acessar o inteiro teor das deliberações clicando em cima do número do processo.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5.75pt;height:126.4pt;mso-position-horizontal-relative:char;mso-position-vertical-relative:line" id="docshapegroup1" coordorigin="0,0" coordsize="10515,2528">
                <v:shape style="position:absolute;left:0;top:0;width:10515;height:2528" type="#_x0000_t75" id="docshape2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515;height:2528" type="#_x0000_t202" id="docshape3" filled="false" stroked="false">
                  <v:textbox inset="0,0,0,0">
                    <w:txbxContent>
                      <w:p>
                        <w:pPr>
                          <w:spacing w:line="268" w:lineRule="auto" w:before="180"/>
                          <w:ind w:left="172" w:right="140" w:firstLine="0"/>
                          <w:jc w:val="both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Este Informativo contém informações de decisões proferidas pelos Colegiados do TCE, que receberam indicação de relevância sob o prisma jurisprudencial no período de julho de 2025. As informações aqui apresentadas não constituem, todavia, o resumo oficial da decisão proferida pelo Tribunal nem representam, necessariamente, o posicionamento prevalente do TCE. O objetivo é facilitar ao interessado o acompanhamento dos acórdãos mais importantes do Tribunal. Para aprofundamento, o leitor pode acessar o inteiro teor das deliberações clicando em cima do número do processo.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before="28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390143</wp:posOffset>
                </wp:positionH>
                <wp:positionV relativeFrom="paragraph">
                  <wp:posOffset>179069</wp:posOffset>
                </wp:positionV>
                <wp:extent cx="6725920" cy="414655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6725920" cy="414655"/>
                          <a:chExt cx="6725920" cy="41465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457" cy="414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725920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4"/>
                                <w:ind w:left="81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ACÓRDÃO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4183/2025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4.099989pt;width:529.6pt;height:32.65pt;mso-position-horizontal-relative:page;mso-position-vertical-relative:paragraph;z-index:-15728128;mso-wrap-distance-left:0;mso-wrap-distance-right:0" id="docshapegroup4" coordorigin="614,282" coordsize="10592,653">
                <v:shape style="position:absolute;left:614;top:282;width:10592;height:653" type="#_x0000_t75" id="docshape5" stroked="false">
                  <v:imagedata r:id="rId8" o:title=""/>
                </v:shape>
                <v:shape style="position:absolute;left:614;top:282;width:10592;height:653" type="#_x0000_t202" id="docshape6" filled="false" stroked="false">
                  <v:textbox inset="0,0,0,0">
                    <w:txbxContent>
                      <w:p>
                        <w:pPr>
                          <w:spacing w:before="194"/>
                          <w:ind w:left="81" w:right="0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ACÓRDÃO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2"/>
                          </w:rPr>
                          <w:t>4183/2025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Heading1"/>
      </w:pPr>
      <w:r>
        <w:rPr/>
        <w:t>REPRESENTAÇÃO. MEDIDA CAUTELAR. HOMOLOGAÇÃO. CONCORRÊNCIA PÚBLICA. PESQUISA DE PREÇOS. CRITÉRIO DE MEDIÇÃO. CRITÉRIO DE PAGAMENTO. ESTUDO TÉCNICO PRELIMINAR. CONTRATO. SUSPENSÃO.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ind w:left="155" w:right="19"/>
        <w:jc w:val="both"/>
      </w:pPr>
      <w:r>
        <w:rPr/>
        <w:t>Trata-se de Representação, com pedido de medida cautelar, em face de possíveis irregularidades na Concorrência Eletrônica, que tem como objeto a contratação de serviços de desenvolvimento institucional com ensino, treinamento de corpo técnico de profissionais da administração, análise de contingências passíveis de redução e de diagnóstico de contribuições nos temas de despesas de pessoal, encargos da administração municipal e repasses constitucionais. O representante apontou vícios nas fases</w:t>
      </w:r>
      <w:r>
        <w:rPr>
          <w:spacing w:val="-1"/>
        </w:rPr>
        <w:t> </w:t>
      </w:r>
      <w:r>
        <w:rPr/>
        <w:t>interna e externa do certame. O cerne do problema foi a falta de planejamento e justificativa para a contratação, identificando-se as seguintes falhas:</w:t>
      </w:r>
    </w:p>
    <w:p>
      <w:pPr>
        <w:pStyle w:val="ListParagraph"/>
        <w:numPr>
          <w:ilvl w:val="0"/>
          <w:numId w:val="1"/>
        </w:numPr>
        <w:tabs>
          <w:tab w:pos="376" w:val="left" w:leader="none"/>
        </w:tabs>
        <w:spacing w:line="240" w:lineRule="auto" w:before="139" w:after="0"/>
        <w:ind w:left="376" w:right="0" w:hanging="221"/>
        <w:jc w:val="left"/>
        <w:rPr>
          <w:sz w:val="20"/>
        </w:rPr>
      </w:pPr>
      <w:r>
        <w:rPr>
          <w:sz w:val="20"/>
        </w:rPr>
        <w:t>Ausência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um</w:t>
      </w:r>
      <w:r>
        <w:rPr>
          <w:spacing w:val="-4"/>
          <w:sz w:val="20"/>
        </w:rPr>
        <w:t> </w:t>
      </w:r>
      <w:r>
        <w:rPr>
          <w:sz w:val="20"/>
        </w:rPr>
        <w:t>estudo</w:t>
      </w:r>
      <w:r>
        <w:rPr>
          <w:spacing w:val="-4"/>
          <w:sz w:val="20"/>
        </w:rPr>
        <w:t> </w:t>
      </w:r>
      <w:r>
        <w:rPr>
          <w:sz w:val="20"/>
        </w:rPr>
        <w:t>técnico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justificasse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necessidade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importância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contratação;</w:t>
      </w:r>
    </w:p>
    <w:p>
      <w:pPr>
        <w:pStyle w:val="ListParagraph"/>
        <w:numPr>
          <w:ilvl w:val="0"/>
          <w:numId w:val="1"/>
        </w:numPr>
        <w:tabs>
          <w:tab w:pos="376" w:val="left" w:leader="none"/>
        </w:tabs>
        <w:spacing w:line="240" w:lineRule="auto" w:before="140" w:after="0"/>
        <w:ind w:left="155" w:right="17" w:firstLine="0"/>
        <w:jc w:val="left"/>
        <w:rPr>
          <w:sz w:val="20"/>
        </w:rPr>
      </w:pPr>
      <w:r>
        <w:rPr>
          <w:sz w:val="20"/>
        </w:rPr>
        <w:t>Ausência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pesquisa de mercado, pois</w:t>
      </w:r>
      <w:r>
        <w:rPr>
          <w:spacing w:val="-1"/>
          <w:sz w:val="20"/>
        </w:rPr>
        <w:t> </w:t>
      </w:r>
      <w:r>
        <w:rPr>
          <w:sz w:val="20"/>
        </w:rPr>
        <w:t>não foram</w:t>
      </w:r>
      <w:r>
        <w:rPr>
          <w:spacing w:val="-1"/>
          <w:sz w:val="20"/>
        </w:rPr>
        <w:t> </w:t>
      </w:r>
      <w:r>
        <w:rPr>
          <w:sz w:val="20"/>
        </w:rPr>
        <w:t>buscadas</w:t>
      </w:r>
      <w:r>
        <w:rPr>
          <w:spacing w:val="-2"/>
          <w:sz w:val="20"/>
        </w:rPr>
        <w:t> </w:t>
      </w:r>
      <w:r>
        <w:rPr>
          <w:sz w:val="20"/>
        </w:rPr>
        <w:t>outras opções</w:t>
      </w:r>
      <w:r>
        <w:rPr>
          <w:spacing w:val="-3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possíveis</w:t>
      </w:r>
      <w:r>
        <w:rPr>
          <w:spacing w:val="-1"/>
          <w:sz w:val="20"/>
        </w:rPr>
        <w:t> </w:t>
      </w:r>
      <w:r>
        <w:rPr>
          <w:sz w:val="20"/>
        </w:rPr>
        <w:t>fornecedores para o</w:t>
      </w:r>
      <w:r>
        <w:rPr>
          <w:spacing w:val="-2"/>
          <w:sz w:val="20"/>
        </w:rPr>
        <w:t> </w:t>
      </w:r>
      <w:r>
        <w:rPr>
          <w:sz w:val="20"/>
        </w:rPr>
        <w:t>serviço, e não havia prova clara da real necessidade da contratação;</w:t>
      </w:r>
    </w:p>
    <w:p>
      <w:pPr>
        <w:pStyle w:val="ListParagraph"/>
        <w:numPr>
          <w:ilvl w:val="0"/>
          <w:numId w:val="1"/>
        </w:numPr>
        <w:tabs>
          <w:tab w:pos="408" w:val="left" w:leader="none"/>
        </w:tabs>
        <w:spacing w:line="240" w:lineRule="auto" w:before="140" w:after="0"/>
        <w:ind w:left="155" w:right="29" w:firstLine="0"/>
        <w:jc w:val="left"/>
        <w:rPr>
          <w:sz w:val="20"/>
        </w:rPr>
      </w:pPr>
      <w:r>
        <w:rPr>
          <w:sz w:val="20"/>
        </w:rPr>
        <w:t>Ausência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z w:val="20"/>
        </w:rPr>
        <w:t>esclarecimentos</w:t>
      </w:r>
      <w:r>
        <w:rPr>
          <w:spacing w:val="29"/>
          <w:sz w:val="20"/>
        </w:rPr>
        <w:t> </w:t>
      </w:r>
      <w:r>
        <w:rPr>
          <w:sz w:val="20"/>
        </w:rPr>
        <w:t>sobre</w:t>
      </w:r>
      <w:r>
        <w:rPr>
          <w:spacing w:val="30"/>
          <w:sz w:val="20"/>
        </w:rPr>
        <w:t> </w:t>
      </w:r>
      <w:r>
        <w:rPr>
          <w:sz w:val="20"/>
        </w:rPr>
        <w:t>como</w:t>
      </w:r>
      <w:r>
        <w:rPr>
          <w:spacing w:val="30"/>
          <w:sz w:val="20"/>
        </w:rPr>
        <w:t> </w:t>
      </w:r>
      <w:r>
        <w:rPr>
          <w:sz w:val="20"/>
        </w:rPr>
        <w:t>se</w:t>
      </w:r>
      <w:r>
        <w:rPr>
          <w:spacing w:val="30"/>
          <w:sz w:val="20"/>
        </w:rPr>
        <w:t> </w:t>
      </w:r>
      <w:r>
        <w:rPr>
          <w:sz w:val="20"/>
        </w:rPr>
        <w:t>chegou</w:t>
      </w:r>
      <w:r>
        <w:rPr>
          <w:spacing w:val="30"/>
          <w:sz w:val="20"/>
        </w:rPr>
        <w:t> </w:t>
      </w:r>
      <w:r>
        <w:rPr>
          <w:sz w:val="20"/>
        </w:rPr>
        <w:t>aos</w:t>
      </w:r>
      <w:r>
        <w:rPr>
          <w:spacing w:val="29"/>
          <w:sz w:val="20"/>
        </w:rPr>
        <w:t> </w:t>
      </w:r>
      <w:r>
        <w:rPr>
          <w:sz w:val="20"/>
        </w:rPr>
        <w:t>valores,</w:t>
      </w:r>
      <w:r>
        <w:rPr>
          <w:spacing w:val="29"/>
          <w:sz w:val="20"/>
        </w:rPr>
        <w:t> </w:t>
      </w:r>
      <w:r>
        <w:rPr>
          <w:sz w:val="20"/>
        </w:rPr>
        <w:t>com</w:t>
      </w:r>
      <w:r>
        <w:rPr>
          <w:spacing w:val="30"/>
          <w:sz w:val="20"/>
        </w:rPr>
        <w:t> </w:t>
      </w:r>
      <w:r>
        <w:rPr>
          <w:sz w:val="20"/>
        </w:rPr>
        <w:t>a</w:t>
      </w:r>
      <w:r>
        <w:rPr>
          <w:spacing w:val="28"/>
          <w:sz w:val="20"/>
        </w:rPr>
        <w:t> </w:t>
      </w:r>
      <w:r>
        <w:rPr>
          <w:sz w:val="20"/>
        </w:rPr>
        <w:t>quantidade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itens</w:t>
      </w:r>
      <w:r>
        <w:rPr>
          <w:spacing w:val="29"/>
          <w:sz w:val="20"/>
        </w:rPr>
        <w:t> </w:t>
      </w:r>
      <w:r>
        <w:rPr>
          <w:sz w:val="20"/>
        </w:rPr>
        <w:t>calculada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forma genérica, sem a demonstração dos cálculos ou da base para a estimativa;</w:t>
      </w:r>
    </w:p>
    <w:p>
      <w:pPr>
        <w:pStyle w:val="ListParagraph"/>
        <w:numPr>
          <w:ilvl w:val="0"/>
          <w:numId w:val="1"/>
        </w:numPr>
        <w:tabs>
          <w:tab w:pos="376" w:val="left" w:leader="none"/>
        </w:tabs>
        <w:spacing w:line="240" w:lineRule="auto" w:before="140" w:after="0"/>
        <w:ind w:left="155" w:right="20" w:firstLine="0"/>
        <w:jc w:val="left"/>
        <w:rPr>
          <w:sz w:val="20"/>
        </w:rPr>
      </w:pPr>
      <w:r>
        <w:rPr>
          <w:sz w:val="20"/>
        </w:rPr>
        <w:t>Ausência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apresentação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2"/>
          <w:sz w:val="20"/>
        </w:rPr>
        <w:t> </w:t>
      </w:r>
      <w:r>
        <w:rPr>
          <w:sz w:val="20"/>
        </w:rPr>
        <w:t>preços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referência, não havendo</w:t>
      </w:r>
      <w:r>
        <w:rPr>
          <w:spacing w:val="-2"/>
          <w:sz w:val="20"/>
        </w:rPr>
        <w:t> </w:t>
      </w:r>
      <w:r>
        <w:rPr>
          <w:sz w:val="20"/>
        </w:rPr>
        <w:t>pesquisa</w:t>
      </w:r>
      <w:r>
        <w:rPr>
          <w:spacing w:val="-2"/>
          <w:sz w:val="20"/>
        </w:rPr>
        <w:t> </w:t>
      </w:r>
      <w:r>
        <w:rPr>
          <w:sz w:val="20"/>
        </w:rPr>
        <w:t>de preços ou</w:t>
      </w:r>
      <w:r>
        <w:rPr>
          <w:spacing w:val="-2"/>
          <w:sz w:val="20"/>
        </w:rPr>
        <w:t> </w:t>
      </w:r>
      <w:r>
        <w:rPr>
          <w:sz w:val="20"/>
        </w:rPr>
        <w:t>propostas</w:t>
      </w:r>
      <w:r>
        <w:rPr>
          <w:spacing w:val="-2"/>
          <w:sz w:val="20"/>
        </w:rPr>
        <w:t> </w:t>
      </w:r>
      <w:r>
        <w:rPr>
          <w:sz w:val="20"/>
        </w:rPr>
        <w:t>que justificassem o valor final;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240" w:lineRule="auto" w:before="140" w:after="0"/>
        <w:ind w:left="155" w:right="29" w:firstLine="0"/>
        <w:jc w:val="left"/>
        <w:rPr>
          <w:sz w:val="20"/>
        </w:rPr>
      </w:pPr>
      <w:r>
        <w:rPr>
          <w:sz w:val="20"/>
        </w:rPr>
        <w:t>Ausência de regras claras de medição e pagamento, não definindo como o serviço seria medido para ser pago nem quais seriam os critérios para o pagamento.</w:t>
      </w:r>
    </w:p>
    <w:p>
      <w:pPr>
        <w:pStyle w:val="BodyText"/>
        <w:spacing w:before="140"/>
        <w:ind w:left="155" w:right="17"/>
        <w:jc w:val="both"/>
      </w:pPr>
      <w:r>
        <w:rPr/>
        <w:t>Tais falhas contrariam a Lei de Licitações e Contratos Administrativos (Lei nº 14.133/2021), que exige que a Administração planeje e justifique cada contratação com um Estudo Técnico Preliminar (ETP) detalhado. Constatou-se que o ETP apresentado era genérico, não demonstrava o problema real que a contratação visava resolver e não apresentava provas dos benefícios do serviço. A forma de pagamento também estava incorreta, limitando-se a informar</w:t>
      </w:r>
      <w:r>
        <w:rPr>
          <w:spacing w:val="40"/>
        </w:rPr>
        <w:t> </w:t>
      </w:r>
      <w:r>
        <w:rPr/>
        <w:t>a duração de 12 meses do contrato e que o pagamento seria feito pela entrega de relatórios, sem maiores detalhes.</w:t>
      </w:r>
    </w:p>
    <w:p>
      <w:pPr>
        <w:pStyle w:val="BodyText"/>
        <w:spacing w:before="141"/>
        <w:ind w:left="155" w:right="133"/>
      </w:pPr>
      <w:r>
        <w:rPr/>
        <w:t>O</w:t>
      </w:r>
      <w:r>
        <w:rPr>
          <w:spacing w:val="-3"/>
        </w:rPr>
        <w:t> </w:t>
      </w:r>
      <w:r>
        <w:rPr/>
        <w:t>Pleno</w:t>
      </w:r>
      <w:r>
        <w:rPr>
          <w:spacing w:val="-3"/>
        </w:rPr>
        <w:t> </w:t>
      </w:r>
      <w:r>
        <w:rPr/>
        <w:t>Virtual do</w:t>
      </w:r>
      <w:r>
        <w:rPr>
          <w:spacing w:val="-3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de Contas</w:t>
      </w:r>
      <w:r>
        <w:rPr>
          <w:spacing w:val="-1"/>
        </w:rPr>
        <w:t> </w:t>
      </w:r>
      <w:r>
        <w:rPr/>
        <w:t>do Estado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Ceará,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unanimidade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votos, homologou</w:t>
      </w:r>
      <w:r>
        <w:rPr>
          <w:spacing w:val="-4"/>
        </w:rPr>
        <w:t> </w:t>
      </w:r>
      <w:r>
        <w:rPr/>
        <w:t>a medida</w:t>
      </w:r>
      <w:r>
        <w:rPr>
          <w:spacing w:val="-3"/>
        </w:rPr>
        <w:t> </w:t>
      </w:r>
      <w:r>
        <w:rPr/>
        <w:t>cautelar que determinou a suspensão dos pagamentos correspondentes ao contrato decorrente da Concorrência Eletrônica.</w:t>
      </w:r>
    </w:p>
    <w:p>
      <w:pPr>
        <w:pStyle w:val="BodyText"/>
        <w:spacing w:before="116"/>
      </w:pPr>
    </w:p>
    <w:p>
      <w:pPr>
        <w:spacing w:before="0"/>
        <w:ind w:left="155" w:right="133" w:firstLine="0"/>
        <w:jc w:val="left"/>
        <w:rPr>
          <w:sz w:val="18"/>
        </w:rPr>
      </w:pPr>
      <w:r>
        <w:rPr>
          <w:sz w:val="18"/>
        </w:rPr>
        <w:t>Processo</w:t>
      </w:r>
      <w:r>
        <w:rPr>
          <w:spacing w:val="40"/>
          <w:sz w:val="18"/>
        </w:rPr>
        <w:t> </w:t>
      </w:r>
      <w:r>
        <w:rPr>
          <w:sz w:val="18"/>
        </w:rPr>
        <w:t>n.º</w:t>
      </w:r>
      <w:r>
        <w:rPr>
          <w:spacing w:val="40"/>
          <w:sz w:val="18"/>
        </w:rPr>
        <w:t> </w:t>
      </w:r>
      <w:r>
        <w:rPr>
          <w:sz w:val="18"/>
        </w:rPr>
        <w:t>12706/2025-6</w:t>
      </w:r>
      <w:r>
        <w:rPr>
          <w:spacing w:val="40"/>
          <w:sz w:val="18"/>
        </w:rPr>
        <w:t> </w:t>
      </w:r>
      <w:r>
        <w:rPr>
          <w:sz w:val="18"/>
        </w:rPr>
        <w:t>Relator(a):</w:t>
      </w:r>
      <w:r>
        <w:rPr>
          <w:spacing w:val="40"/>
          <w:sz w:val="18"/>
        </w:rPr>
        <w:t> </w:t>
      </w:r>
      <w:r>
        <w:rPr>
          <w:sz w:val="18"/>
        </w:rPr>
        <w:t>Cons.</w:t>
      </w:r>
      <w:r>
        <w:rPr>
          <w:spacing w:val="40"/>
          <w:sz w:val="18"/>
        </w:rPr>
        <w:t> </w:t>
      </w:r>
      <w:r>
        <w:rPr>
          <w:sz w:val="18"/>
        </w:rPr>
        <w:t>Valdomiro</w:t>
      </w:r>
      <w:r>
        <w:rPr>
          <w:spacing w:val="40"/>
          <w:sz w:val="18"/>
        </w:rPr>
        <w:t> </w:t>
      </w:r>
      <w:r>
        <w:rPr>
          <w:sz w:val="18"/>
        </w:rPr>
        <w:t>Távora.</w:t>
      </w:r>
      <w:r>
        <w:rPr>
          <w:spacing w:val="40"/>
          <w:sz w:val="18"/>
        </w:rPr>
        <w:t> </w:t>
      </w:r>
      <w:r>
        <w:rPr>
          <w:sz w:val="18"/>
        </w:rPr>
        <w:t>Sessão</w:t>
      </w:r>
      <w:r>
        <w:rPr>
          <w:spacing w:val="40"/>
          <w:sz w:val="18"/>
        </w:rPr>
        <w:t> </w:t>
      </w:r>
      <w:r>
        <w:rPr>
          <w:sz w:val="18"/>
        </w:rPr>
        <w:t>Virtual</w:t>
      </w:r>
      <w:r>
        <w:rPr>
          <w:spacing w:val="40"/>
          <w:sz w:val="18"/>
        </w:rPr>
        <w:t> </w:t>
      </w:r>
      <w:r>
        <w:rPr>
          <w:sz w:val="18"/>
        </w:rPr>
        <w:t>Pleno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04/07/2025.</w:t>
      </w:r>
      <w:r>
        <w:rPr>
          <w:spacing w:val="40"/>
          <w:sz w:val="18"/>
        </w:rPr>
        <w:t> </w:t>
      </w:r>
      <w:r>
        <w:rPr>
          <w:sz w:val="18"/>
        </w:rPr>
        <w:t>Ata</w:t>
      </w:r>
      <w:r>
        <w:rPr>
          <w:spacing w:val="40"/>
          <w:sz w:val="18"/>
        </w:rPr>
        <w:t> </w:t>
      </w:r>
      <w:r>
        <w:rPr>
          <w:sz w:val="18"/>
        </w:rPr>
        <w:t>n.º</w:t>
      </w:r>
      <w:r>
        <w:rPr>
          <w:spacing w:val="40"/>
          <w:sz w:val="18"/>
        </w:rPr>
        <w:t> </w:t>
      </w:r>
      <w:r>
        <w:rPr>
          <w:sz w:val="18"/>
        </w:rPr>
        <w:t>238/2025</w:t>
      </w:r>
      <w:r>
        <w:rPr>
          <w:spacing w:val="40"/>
          <w:sz w:val="18"/>
        </w:rPr>
        <w:t> </w:t>
      </w:r>
      <w:r>
        <w:rPr>
          <w:sz w:val="18"/>
        </w:rPr>
        <w:t>DO:</w:t>
      </w:r>
      <w:r>
        <w:rPr>
          <w:spacing w:val="80"/>
          <w:sz w:val="18"/>
        </w:rPr>
        <w:t> </w:t>
      </w:r>
      <w:r>
        <w:rPr>
          <w:spacing w:val="-2"/>
          <w:sz w:val="18"/>
        </w:rPr>
        <w:t>21/07/2025.</w:t>
      </w:r>
    </w:p>
    <w:p>
      <w:pPr>
        <w:spacing w:after="0"/>
        <w:jc w:val="left"/>
        <w:rPr>
          <w:sz w:val="18"/>
        </w:rPr>
        <w:sectPr>
          <w:footerReference w:type="default" r:id="rId5"/>
          <w:type w:val="continuous"/>
          <w:pgSz w:w="11910" w:h="16840"/>
          <w:pgMar w:header="0" w:footer="760" w:top="0" w:bottom="960" w:left="425" w:right="566"/>
          <w:pgNumType w:start="1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124" w:right="-15"/>
      </w:pPr>
      <w:r>
        <w:rPr/>
        <mc:AlternateContent>
          <mc:Choice Requires="wps">
            <w:drawing>
              <wp:inline distT="0" distB="0" distL="0" distR="0">
                <wp:extent cx="6824980" cy="454659"/>
                <wp:effectExtent l="0" t="0" r="0" b="254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824980" cy="454659"/>
                          <a:chExt cx="6824980" cy="454659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471" cy="454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82498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81" w:right="327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ACÓRDÃO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4954/2025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7.4pt;height:35.8pt;mso-position-horizontal-relative:char;mso-position-vertical-relative:line" id="docshapegroup7" coordorigin="0,0" coordsize="10748,716">
                <v:shape style="position:absolute;left:0;top:0;width:10748;height:716" type="#_x0000_t75" id="docshape8" stroked="false">
                  <v:imagedata r:id="rId9" o:title=""/>
                </v:shape>
                <v:shape style="position:absolute;left:0;top:0;width:10748;height:716" type="#_x0000_t202" id="docshape9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381" w:right="327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ACÓRDÃO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2"/>
                          </w:rPr>
                          <w:t>4954/2025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236"/>
        <w:rPr>
          <w:sz w:val="24"/>
        </w:rPr>
      </w:pPr>
    </w:p>
    <w:p>
      <w:pPr>
        <w:pStyle w:val="Heading1"/>
        <w:spacing w:before="1"/>
        <w:ind w:right="20"/>
      </w:pPr>
      <w:r>
        <w:rPr/>
        <w:t>PRESTAÇÃO DE CONTAS DE GESTÃO. DESPESAS DE EXERCÍCIO ANTERIOR. OCORRÊNCIA DO FATO GERADOR. RESPONSABILIDADE DO GESTOR. EXCLUSÃO DO </w:t>
      </w:r>
      <w:r>
        <w:rPr>
          <w:spacing w:val="-2"/>
        </w:rPr>
        <w:t>CONTADOR.</w:t>
      </w:r>
    </w:p>
    <w:p>
      <w:pPr>
        <w:pStyle w:val="BodyText"/>
        <w:spacing w:before="275"/>
        <w:ind w:left="155" w:right="18"/>
        <w:jc w:val="both"/>
      </w:pPr>
      <w:r>
        <w:rPr/>
        <w:t>A Prestação de Contas de Gestão apresentou a inscrição indevida de Despesas de Exercícios Anteriores (DEA) no exercício seguinte ao avaliado, pois o gestor deixou de reconhecer e registrar contabilmente as despesas no momento da ocorrência do fato gerador.</w:t>
      </w:r>
    </w:p>
    <w:p>
      <w:pPr>
        <w:pStyle w:val="BodyText"/>
        <w:spacing w:before="140"/>
        <w:ind w:left="155" w:right="24"/>
        <w:jc w:val="both"/>
      </w:pPr>
      <w:r>
        <w:rPr/>
        <w:t>O Tribunal entendeu que a responsabilidade pelo pagamento irregular de DEA não pode ser atribuída ao contador, mas sim ao gestor competente à época em que a despesa deveria ter sido registrada. Embora o contador deva seguir os procedimentos formais e legais ao realizar o pagamento de DEA, a responsabilidade inicial pela omissão do empenho tempestivo recai sobre o gestor do exercício correspondente. Este entendimento está alinhado aos princípios contábeis da competência e oportunidade e à jurisprudência da Corte de Contas, que preconiza que a contabilização das</w:t>
      </w:r>
      <w:r>
        <w:rPr>
          <w:spacing w:val="40"/>
        </w:rPr>
        <w:t> </w:t>
      </w:r>
      <w:r>
        <w:rPr/>
        <w:t>despesas deve ocorrer no exercício a que se referem.</w:t>
      </w:r>
    </w:p>
    <w:p>
      <w:pPr>
        <w:pStyle w:val="BodyText"/>
        <w:spacing w:before="140"/>
        <w:ind w:left="155" w:right="18"/>
        <w:jc w:val="both"/>
      </w:pPr>
      <w:r>
        <w:rPr/>
        <w:t>Considerando</w:t>
      </w:r>
      <w:r>
        <w:rPr>
          <w:spacing w:val="-4"/>
        </w:rPr>
        <w:t> </w:t>
      </w:r>
      <w:r>
        <w:rPr/>
        <w:t>a baixa</w:t>
      </w:r>
      <w:r>
        <w:rPr>
          <w:spacing w:val="-3"/>
        </w:rPr>
        <w:t> </w:t>
      </w:r>
      <w:r>
        <w:rPr/>
        <w:t>materialidade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caso,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relator</w:t>
      </w:r>
      <w:r>
        <w:rPr>
          <w:spacing w:val="-3"/>
        </w:rPr>
        <w:t> </w:t>
      </w:r>
      <w:r>
        <w:rPr/>
        <w:t>classificou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ocorrência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descumprimento formal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natureza não</w:t>
      </w:r>
      <w:r>
        <w:rPr>
          <w:spacing w:val="-2"/>
        </w:rPr>
        <w:t> </w:t>
      </w:r>
      <w:r>
        <w:rPr/>
        <w:t>grave, sem dano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erário, com indicação de</w:t>
      </w:r>
      <w:r>
        <w:rPr>
          <w:spacing w:val="-2"/>
        </w:rPr>
        <w:t> </w:t>
      </w:r>
      <w:r>
        <w:rPr/>
        <w:t>multa. A Segunda Câmara</w:t>
      </w:r>
      <w:r>
        <w:rPr>
          <w:spacing w:val="-2"/>
        </w:rPr>
        <w:t> </w:t>
      </w:r>
      <w:r>
        <w:rPr/>
        <w:t>Virtual</w:t>
      </w:r>
      <w:r>
        <w:rPr>
          <w:spacing w:val="-1"/>
        </w:rPr>
        <w:t> </w:t>
      </w:r>
      <w:r>
        <w:rPr/>
        <w:t>do Tribunal de Contas do Estado do Ceará, por maioria, excluiu o contador da relação processual e julgou</w:t>
      </w:r>
      <w:r>
        <w:rPr>
          <w:spacing w:val="-2"/>
        </w:rPr>
        <w:t> </w:t>
      </w:r>
      <w:r>
        <w:rPr/>
        <w:t>as contas regulares com ressalvas, com aplicação de multa e determinação.</w:t>
      </w:r>
    </w:p>
    <w:p>
      <w:pPr>
        <w:spacing w:before="140"/>
        <w:ind w:left="155" w:right="20" w:firstLine="0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365760</wp:posOffset>
                </wp:positionH>
                <wp:positionV relativeFrom="paragraph">
                  <wp:posOffset>603216</wp:posOffset>
                </wp:positionV>
                <wp:extent cx="6824980" cy="43307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824980" cy="433070"/>
                          <a:chExt cx="6824980" cy="43307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471" cy="43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82498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381" w:right="38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ACÓRDÃO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4737/2025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00001pt;margin-top:47.497387pt;width:537.4pt;height:34.1pt;mso-position-horizontal-relative:page;mso-position-vertical-relative:paragraph;z-index:15730688" id="docshapegroup10" coordorigin="576,950" coordsize="10748,682">
                <v:shape style="position:absolute;left:576;top:949;width:10748;height:682" type="#_x0000_t75" id="docshape11" stroked="false">
                  <v:imagedata r:id="rId9" o:title=""/>
                </v:shape>
                <v:shape style="position:absolute;left:576;top:949;width:10748;height:682" type="#_x0000_t202" id="docshape12" filled="false" stroked="false">
                  <v:textbox inset="0,0,0,0">
                    <w:txbxContent>
                      <w:p>
                        <w:pPr>
                          <w:spacing w:before="225"/>
                          <w:ind w:left="381" w:right="380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ACÓRDÃO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2"/>
                          </w:rPr>
                          <w:t>4737/2025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Processo n.º 17557/2022-8. Relator(a): Cons. Edilberto Pontes. Sessão Segunda Câmara de 21/07/2025. Ata n.º 239/2025. D.O. </w:t>
      </w:r>
      <w:r>
        <w:rPr>
          <w:spacing w:val="-2"/>
          <w:sz w:val="18"/>
        </w:rPr>
        <w:t>07/08/2025.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rPr>
          <w:sz w:val="24"/>
        </w:rPr>
      </w:pPr>
    </w:p>
    <w:p>
      <w:pPr>
        <w:pStyle w:val="Heading1"/>
        <w:ind w:right="16"/>
      </w:pPr>
      <w:r>
        <w:rPr/>
        <w:t>REPRESENTAÇÃO. MEDIDA CAUTELAR. REVOGAÇÃO. PERDA DO OBJETO. PRÉ- QUALIFICAÇÃO. QUALIFICAÇÃO TÉCNICA. EDITAL DE LICITAÇÃO. IRREGULARIDADE. RETIFICAÇÃO DA LICITAÇÃO. PROCEDÊNCIA. DETERMINAÇÃO.</w:t>
      </w:r>
    </w:p>
    <w:p>
      <w:pPr>
        <w:pStyle w:val="BodyText"/>
        <w:spacing w:line="276" w:lineRule="auto" w:before="141"/>
        <w:ind w:left="155" w:right="17"/>
        <w:jc w:val="both"/>
      </w:pPr>
      <w:r>
        <w:rPr/>
        <w:t>A Representação identificou irregularidade no Edital de Pré-Qualificação, que continha exigências de capacidade técnico-profissional (como Certificação CMVP, Certificação Internacional em Gestão de Projetos, Pós-Graduação em Engenharia de Segurança do Trabalho e cursos de NR10 e NR35) sem a devida justificativa acerca da complexidade técnica do objeto licitado. Tal prática afronta o entendimento do TCU e os ditames das normas sobre licitações, em especial o art. 67 da Lei n.º 14.133/2021.</w:t>
      </w:r>
    </w:p>
    <w:p>
      <w:pPr>
        <w:pStyle w:val="BodyText"/>
        <w:spacing w:line="276" w:lineRule="auto" w:before="137"/>
        <w:ind w:left="155" w:right="21"/>
        <w:jc w:val="both"/>
      </w:pPr>
      <w:r>
        <w:rPr/>
        <w:t>Após o deferimento de medida</w:t>
      </w:r>
      <w:r>
        <w:rPr>
          <w:spacing w:val="-2"/>
        </w:rPr>
        <w:t> </w:t>
      </w:r>
      <w:r>
        <w:rPr/>
        <w:t>cautelar suspendendo o certame, a Administração informou que todas as inconsistências apontadas no edital foram corrigidas em resposta às impugnações administrativas. Diante da alteração do edital, o relator originário votou pelo arquivamento da Representação por perda de objeto. No entanto, prevaleceu o voto divergente, que</w:t>
      </w:r>
      <w:r>
        <w:rPr>
          <w:spacing w:val="-4"/>
        </w:rPr>
        <w:t> </w:t>
      </w:r>
      <w:r>
        <w:rPr/>
        <w:t>compreendeu</w:t>
      </w:r>
      <w:r>
        <w:rPr>
          <w:spacing w:val="-2"/>
        </w:rPr>
        <w:t> </w:t>
      </w:r>
      <w:r>
        <w:rPr/>
        <w:t>que a retificação do edital,</w:t>
      </w:r>
      <w:r>
        <w:rPr>
          <w:spacing w:val="-3"/>
        </w:rPr>
        <w:t> </w:t>
      </w:r>
      <w:r>
        <w:rPr/>
        <w:t>embora</w:t>
      </w:r>
      <w:r>
        <w:rPr>
          <w:spacing w:val="-2"/>
        </w:rPr>
        <w:t> </w:t>
      </w:r>
      <w:r>
        <w:rPr/>
        <w:t>afaste</w:t>
      </w:r>
      <w:r>
        <w:rPr>
          <w:spacing w:val="-2"/>
        </w:rPr>
        <w:t> </w:t>
      </w:r>
      <w:r>
        <w:rPr/>
        <w:t>a necessidade da</w:t>
      </w:r>
      <w:r>
        <w:rPr>
          <w:spacing w:val="-4"/>
        </w:rPr>
        <w:t> </w:t>
      </w:r>
      <w:r>
        <w:rPr/>
        <w:t>medida</w:t>
      </w:r>
      <w:r>
        <w:rPr>
          <w:spacing w:val="-2"/>
        </w:rPr>
        <w:t> </w:t>
      </w:r>
      <w:r>
        <w:rPr/>
        <w:t>cautelar, não</w:t>
      </w:r>
      <w:r>
        <w:rPr>
          <w:spacing w:val="-2"/>
        </w:rPr>
        <w:t> </w:t>
      </w:r>
      <w:r>
        <w:rPr/>
        <w:t>acarreta a perda do objeto da Representação, uma vez que a falha original ocorreu.</w:t>
      </w:r>
    </w:p>
    <w:p>
      <w:pPr>
        <w:pStyle w:val="BodyText"/>
        <w:spacing w:line="276" w:lineRule="auto" w:before="136"/>
        <w:ind w:left="155" w:right="133"/>
      </w:pPr>
      <w:r>
        <w:rPr/>
        <w:t>O</w:t>
      </w:r>
      <w:r>
        <w:rPr>
          <w:spacing w:val="-3"/>
        </w:rPr>
        <w:t> </w:t>
      </w:r>
      <w:r>
        <w:rPr/>
        <w:t>Pleno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Tribunal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Contas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Estado do Ceará,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unanimidade,</w:t>
      </w:r>
      <w:r>
        <w:rPr>
          <w:spacing w:val="-4"/>
        </w:rPr>
        <w:t> </w:t>
      </w:r>
      <w:r>
        <w:rPr/>
        <w:t>revogou</w:t>
      </w:r>
      <w:r>
        <w:rPr>
          <w:spacing w:val="-3"/>
        </w:rPr>
        <w:t> </w:t>
      </w:r>
      <w:r>
        <w:rPr/>
        <w:t>a medida</w:t>
      </w:r>
      <w:r>
        <w:rPr>
          <w:spacing w:val="-3"/>
        </w:rPr>
        <w:t> </w:t>
      </w:r>
      <w:r>
        <w:rPr/>
        <w:t>cautelar</w:t>
      </w:r>
      <w:r>
        <w:rPr>
          <w:spacing w:val="-1"/>
        </w:rPr>
        <w:t> </w:t>
      </w:r>
      <w:r>
        <w:rPr/>
        <w:t>e, por</w:t>
      </w:r>
      <w:r>
        <w:rPr>
          <w:spacing w:val="-1"/>
        </w:rPr>
        <w:t> </w:t>
      </w:r>
      <w:r>
        <w:rPr/>
        <w:t>maioria, julgou a Representação procedente em virtude da falha identificada, com determinação à gestão atual.</w:t>
      </w:r>
    </w:p>
    <w:p>
      <w:pPr>
        <w:spacing w:before="141"/>
        <w:ind w:left="155" w:right="0" w:firstLine="0"/>
        <w:jc w:val="left"/>
        <w:rPr>
          <w:sz w:val="18"/>
        </w:rPr>
      </w:pPr>
      <w:r>
        <w:rPr>
          <w:sz w:val="18"/>
        </w:rPr>
        <w:t>Processo</w:t>
      </w:r>
      <w:r>
        <w:rPr>
          <w:spacing w:val="-4"/>
          <w:sz w:val="18"/>
        </w:rPr>
        <w:t> </w:t>
      </w:r>
      <w:r>
        <w:rPr>
          <w:sz w:val="18"/>
        </w:rPr>
        <w:t>n.º</w:t>
      </w:r>
      <w:r>
        <w:rPr>
          <w:spacing w:val="-2"/>
          <w:sz w:val="18"/>
        </w:rPr>
        <w:t> </w:t>
      </w:r>
      <w:r>
        <w:rPr>
          <w:sz w:val="18"/>
        </w:rPr>
        <w:t>26353/2024-7.</w:t>
      </w:r>
      <w:r>
        <w:rPr>
          <w:spacing w:val="50"/>
          <w:sz w:val="18"/>
        </w:rPr>
        <w:t> </w:t>
      </w:r>
      <w:r>
        <w:rPr>
          <w:sz w:val="18"/>
        </w:rPr>
        <w:t>Relator(a):</w:t>
      </w:r>
      <w:r>
        <w:rPr>
          <w:spacing w:val="-1"/>
          <w:sz w:val="18"/>
        </w:rPr>
        <w:t> </w:t>
      </w:r>
      <w:r>
        <w:rPr>
          <w:sz w:val="18"/>
        </w:rPr>
        <w:t>Cons.</w:t>
      </w:r>
      <w:r>
        <w:rPr>
          <w:spacing w:val="-4"/>
          <w:sz w:val="18"/>
        </w:rPr>
        <w:t> </w:t>
      </w:r>
      <w:r>
        <w:rPr>
          <w:sz w:val="18"/>
        </w:rPr>
        <w:t>Ernesto</w:t>
      </w:r>
      <w:r>
        <w:rPr>
          <w:spacing w:val="-1"/>
          <w:sz w:val="18"/>
        </w:rPr>
        <w:t> </w:t>
      </w:r>
      <w:r>
        <w:rPr>
          <w:sz w:val="18"/>
        </w:rPr>
        <w:t>Saboia.</w:t>
      </w:r>
      <w:r>
        <w:rPr>
          <w:spacing w:val="-1"/>
          <w:sz w:val="18"/>
        </w:rPr>
        <w:t> </w:t>
      </w:r>
      <w:r>
        <w:rPr>
          <w:sz w:val="18"/>
        </w:rPr>
        <w:t>Sessão</w:t>
      </w:r>
      <w:r>
        <w:rPr>
          <w:spacing w:val="1"/>
          <w:sz w:val="18"/>
        </w:rPr>
        <w:t> </w:t>
      </w:r>
      <w:r>
        <w:rPr>
          <w:sz w:val="18"/>
        </w:rPr>
        <w:t>do</w:t>
      </w:r>
      <w:r>
        <w:rPr>
          <w:spacing w:val="-3"/>
          <w:sz w:val="18"/>
        </w:rPr>
        <w:t> </w:t>
      </w:r>
      <w:r>
        <w:rPr>
          <w:sz w:val="18"/>
        </w:rPr>
        <w:t>Pleno</w:t>
      </w:r>
      <w:r>
        <w:rPr>
          <w:spacing w:val="47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08/07/2025.</w:t>
      </w:r>
      <w:r>
        <w:rPr>
          <w:spacing w:val="73"/>
          <w:w w:val="150"/>
          <w:sz w:val="18"/>
        </w:rPr>
        <w:t> </w:t>
      </w:r>
      <w:r>
        <w:rPr>
          <w:sz w:val="18"/>
        </w:rPr>
        <w:t>Ata</w:t>
      </w:r>
      <w:r>
        <w:rPr>
          <w:spacing w:val="-1"/>
          <w:sz w:val="18"/>
        </w:rPr>
        <w:t> </w:t>
      </w:r>
      <w:r>
        <w:rPr>
          <w:sz w:val="18"/>
        </w:rPr>
        <w:t>n.º</w:t>
      </w:r>
      <w:r>
        <w:rPr>
          <w:spacing w:val="1"/>
          <w:sz w:val="18"/>
        </w:rPr>
        <w:t> </w:t>
      </w:r>
      <w:r>
        <w:rPr>
          <w:sz w:val="18"/>
        </w:rPr>
        <w:t>006/2025.</w:t>
      </w:r>
      <w:r>
        <w:rPr>
          <w:spacing w:val="72"/>
          <w:w w:val="150"/>
          <w:sz w:val="18"/>
        </w:rPr>
        <w:t> </w:t>
      </w:r>
      <w:r>
        <w:rPr>
          <w:spacing w:val="-2"/>
          <w:sz w:val="18"/>
        </w:rPr>
        <w:t>D.O.10/09/2025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60" w:top="1920" w:bottom="960" w:left="425" w:right="566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3"/>
        <w:rPr>
          <w:sz w:val="24"/>
        </w:rPr>
      </w:pPr>
    </w:p>
    <w:p>
      <w:pPr>
        <w:pStyle w:val="Heading1"/>
        <w:ind w:right="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365760</wp:posOffset>
                </wp:positionH>
                <wp:positionV relativeFrom="paragraph">
                  <wp:posOffset>-890069</wp:posOffset>
                </wp:positionV>
                <wp:extent cx="6824980" cy="4330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24980" cy="433070"/>
                          <a:chExt cx="6824980" cy="43307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471" cy="43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82498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381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ACORDÃO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 4196/2025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00001pt;margin-top:-70.084183pt;width:537.4pt;height:34.1pt;mso-position-horizontal-relative:page;mso-position-vertical-relative:paragraph;z-index:15731712" id="docshapegroup13" coordorigin="576,-1402" coordsize="10748,682">
                <v:shape style="position:absolute;left:576;top:-1402;width:10748;height:682" type="#_x0000_t75" id="docshape14" stroked="false">
                  <v:imagedata r:id="rId9" o:title=""/>
                </v:shape>
                <v:shape style="position:absolute;left:576;top:-1402;width:10748;height:682" type="#_x0000_t202" id="docshape15" filled="false" stroked="false">
                  <v:textbox inset="0,0,0,0">
                    <w:txbxContent>
                      <w:p>
                        <w:pPr>
                          <w:spacing w:before="182"/>
                          <w:ind w:left="381" w:right="0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ACORDÃO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2"/>
                          </w:rPr>
                          <w:t> 4196/2025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REPRESENTAÇÃO. MEDIDA CAUTELAR. HOMOLOGAÇÃO. CONCORRÊNCIA ELETRÔNICA. SERVIÇOS ESPECIALIZADOS. MENOR PREÇO. SUSPENSÃO DA LICITAÇÃO.</w:t>
      </w:r>
    </w:p>
    <w:p>
      <w:pPr>
        <w:pStyle w:val="BodyText"/>
        <w:spacing w:before="141"/>
        <w:ind w:left="155" w:right="18"/>
        <w:jc w:val="both"/>
      </w:pPr>
      <w:r>
        <w:rPr/>
        <w:t>O Ministério Público Especial junto ao TCE/CE interpôs representação, com pedido de medida cautelar, apontando irregularidades em Concorrência Eletrônica para contratação de serviços especializados na elaboração de projetos de arquitetura e engenharia.</w:t>
      </w:r>
    </w:p>
    <w:p>
      <w:pPr>
        <w:pStyle w:val="BodyText"/>
        <w:spacing w:before="140"/>
        <w:ind w:left="155" w:right="18"/>
        <w:jc w:val="both"/>
      </w:pPr>
      <w:r>
        <w:rPr/>
        <w:t>A irregularidade central foi a adoção indevida do critério de julgamento “menor preço” para a contratação de serviços técnicos especializados de natureza predominantemente intelectual, cujo valor estimado era superior ao patamar</w:t>
      </w:r>
      <w:r>
        <w:rPr>
          <w:spacing w:val="40"/>
        </w:rPr>
        <w:t> </w:t>
      </w:r>
      <w:r>
        <w:rPr/>
        <w:t>máximo permitido para esse critério, violando o art. 37, § 2º, da Lei nº 14.133/2021. Embora a competição tenha sido ampla, com 23 propostas, o Tribunal ressaltou que a escolha inadequada do critério de julgamento gera riscos à administração, pois a falta de avaliação técnica pode resultar em um serviço de baixa qualidade.</w:t>
      </w:r>
    </w:p>
    <w:p>
      <w:pPr>
        <w:pStyle w:val="BodyText"/>
        <w:spacing w:before="139"/>
        <w:ind w:left="155" w:right="16"/>
        <w:jc w:val="both"/>
      </w:pPr>
      <w:r>
        <w:rPr/>
        <w:t>Diante da presença dos requisitos cautelares (</w:t>
      </w:r>
      <w:r>
        <w:rPr>
          <w:rFonts w:ascii="Arial" w:hAnsi="Arial"/>
          <w:i/>
        </w:rPr>
        <w:t>fumus boni iuris </w:t>
      </w:r>
      <w:r>
        <w:rPr/>
        <w:t>e </w:t>
      </w:r>
      <w:r>
        <w:rPr>
          <w:rFonts w:ascii="Arial" w:hAnsi="Arial"/>
          <w:i/>
        </w:rPr>
        <w:t>periculum in mora</w:t>
      </w:r>
      <w:r>
        <w:rPr/>
        <w:t>), o Pleno Presencial do Tribunal de Contas do Estado do Ceará, por unanimidade, homologou a medida cautelar e determinou a suspensão imediata da concorrência eletrônica.</w:t>
      </w:r>
    </w:p>
    <w:p>
      <w:pPr>
        <w:spacing w:before="140"/>
        <w:ind w:left="211" w:right="0" w:firstLine="0"/>
        <w:jc w:val="both"/>
        <w:rPr>
          <w:sz w:val="18"/>
        </w:rPr>
      </w:pPr>
      <w:r>
        <w:rPr>
          <w:sz w:val="18"/>
        </w:rPr>
        <w:t>Processo</w:t>
      </w:r>
      <w:r>
        <w:rPr>
          <w:spacing w:val="-2"/>
          <w:sz w:val="18"/>
        </w:rPr>
        <w:t> </w:t>
      </w:r>
      <w:r>
        <w:rPr>
          <w:sz w:val="18"/>
        </w:rPr>
        <w:t>n.º</w:t>
      </w:r>
      <w:r>
        <w:rPr>
          <w:spacing w:val="1"/>
          <w:sz w:val="18"/>
        </w:rPr>
        <w:t> </w:t>
      </w:r>
      <w:r>
        <w:rPr>
          <w:sz w:val="18"/>
        </w:rPr>
        <w:t>14941/2025-4.</w:t>
      </w:r>
      <w:r>
        <w:rPr>
          <w:spacing w:val="49"/>
          <w:sz w:val="18"/>
        </w:rPr>
        <w:t> </w:t>
      </w:r>
      <w:r>
        <w:rPr>
          <w:sz w:val="18"/>
        </w:rPr>
        <w:t>Relator(a):</w:t>
      </w:r>
      <w:r>
        <w:rPr>
          <w:spacing w:val="-1"/>
          <w:sz w:val="18"/>
        </w:rPr>
        <w:t> </w:t>
      </w:r>
      <w:r>
        <w:rPr>
          <w:sz w:val="18"/>
        </w:rPr>
        <w:t>Cons.</w:t>
      </w:r>
      <w:r>
        <w:rPr>
          <w:spacing w:val="-1"/>
          <w:sz w:val="18"/>
        </w:rPr>
        <w:t> </w:t>
      </w:r>
      <w:r>
        <w:rPr>
          <w:sz w:val="18"/>
        </w:rPr>
        <w:t>Patrícia</w:t>
      </w:r>
      <w:r>
        <w:rPr>
          <w:spacing w:val="-2"/>
          <w:sz w:val="18"/>
        </w:rPr>
        <w:t> </w:t>
      </w:r>
      <w:r>
        <w:rPr>
          <w:sz w:val="18"/>
        </w:rPr>
        <w:t>Saboya.</w:t>
      </w:r>
      <w:r>
        <w:rPr>
          <w:spacing w:val="-1"/>
          <w:sz w:val="18"/>
        </w:rPr>
        <w:t> </w:t>
      </w:r>
      <w:r>
        <w:rPr>
          <w:sz w:val="18"/>
        </w:rPr>
        <w:t>Sessão</w:t>
      </w:r>
      <w:r>
        <w:rPr>
          <w:spacing w:val="1"/>
          <w:sz w:val="18"/>
        </w:rPr>
        <w:t> </w:t>
      </w:r>
      <w:r>
        <w:rPr>
          <w:sz w:val="18"/>
        </w:rPr>
        <w:t>do</w:t>
      </w:r>
      <w:r>
        <w:rPr>
          <w:spacing w:val="45"/>
          <w:sz w:val="18"/>
        </w:rPr>
        <w:t> </w:t>
      </w:r>
      <w:r>
        <w:rPr>
          <w:sz w:val="18"/>
        </w:rPr>
        <w:t>Pleno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08/07/2025</w:t>
      </w:r>
      <w:r>
        <w:rPr>
          <w:spacing w:val="49"/>
          <w:sz w:val="18"/>
        </w:rPr>
        <w:t> </w:t>
      </w:r>
      <w:r>
        <w:rPr>
          <w:sz w:val="18"/>
        </w:rPr>
        <w:t>Ata</w:t>
      </w:r>
      <w:r>
        <w:rPr>
          <w:spacing w:val="-4"/>
          <w:sz w:val="18"/>
        </w:rPr>
        <w:t> </w:t>
      </w:r>
      <w:r>
        <w:rPr>
          <w:sz w:val="18"/>
        </w:rPr>
        <w:t>n.º</w:t>
      </w:r>
      <w:r>
        <w:rPr>
          <w:spacing w:val="-2"/>
          <w:sz w:val="18"/>
        </w:rPr>
        <w:t> </w:t>
      </w:r>
      <w:r>
        <w:rPr>
          <w:sz w:val="18"/>
        </w:rPr>
        <w:t>006/2025.</w:t>
      </w:r>
      <w:r>
        <w:rPr>
          <w:spacing w:val="-1"/>
          <w:sz w:val="18"/>
        </w:rPr>
        <w:t> </w:t>
      </w:r>
      <w:r>
        <w:rPr>
          <w:sz w:val="18"/>
        </w:rPr>
        <w:t>D.O.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10/09/2025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1"/>
        <w:rPr>
          <w:sz w:val="24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365760</wp:posOffset>
                </wp:positionH>
                <wp:positionV relativeFrom="paragraph">
                  <wp:posOffset>-699810</wp:posOffset>
                </wp:positionV>
                <wp:extent cx="6824980" cy="43307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824980" cy="433070"/>
                          <a:chExt cx="6824980" cy="43307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471" cy="43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82498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81" w:right="38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ACORDÃO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2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4415/2025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00001pt;margin-top:-55.10318pt;width:537.4pt;height:34.1pt;mso-position-horizontal-relative:page;mso-position-vertical-relative:paragraph;z-index:15731200" id="docshapegroup16" coordorigin="576,-1102" coordsize="10748,682">
                <v:shape style="position:absolute;left:576;top:-1103;width:10748;height:682" type="#_x0000_t75" id="docshape17" stroked="false">
                  <v:imagedata r:id="rId9" o:title=""/>
                </v:shape>
                <v:shape style="position:absolute;left:576;top:-1103;width:10748;height:682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42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81" w:right="380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ACORDÃO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2"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2"/>
                          </w:rPr>
                          <w:t>4415/2025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REPRESENTAÇÃO. MEDIDA CAUTELAR. REVOGAÇÃO. CONTROLE </w:t>
      </w:r>
      <w:r>
        <w:rPr/>
        <w:t>INCIDENTAL. INCONSTITUCIONALIDADE. PREGÃO ELETRÔNICO. CONTRATO. REPACTUAÇÃO. LEGISLAÇÃO ESTADUAL.</w:t>
      </w:r>
    </w:p>
    <w:p>
      <w:pPr>
        <w:pStyle w:val="BodyText"/>
        <w:spacing w:before="138"/>
        <w:ind w:left="155" w:right="21"/>
        <w:jc w:val="both"/>
      </w:pPr>
      <w:r>
        <w:rPr/>
        <w:t>A Representação buscou suspender o pregão eletrônico sob o argumento de que suas cláusulas de repactuação se baseavam em uma lei estadual (Lei n.º 19.212/2025) supostamente inconstitucional, por violar o equilíbrio econômico- financeiro e a legalidade. A lei estadual permite reajustes apenas pela inflação (IPCA) e pelo reajuste salarial dos servidores, divergindo da Lei Federal n.º 14.133/2021, que prevê a repactuação com base na variação efetiva dos</w:t>
      </w:r>
      <w:r>
        <w:rPr>
          <w:spacing w:val="40"/>
        </w:rPr>
        <w:t> </w:t>
      </w:r>
      <w:r>
        <w:rPr/>
        <w:t>custos contratuais.</w:t>
      </w:r>
    </w:p>
    <w:p>
      <w:pPr>
        <w:pStyle w:val="BodyText"/>
        <w:spacing w:before="141"/>
        <w:ind w:left="155" w:right="18"/>
        <w:jc w:val="both"/>
      </w:pPr>
      <w:r>
        <w:rPr/>
        <w:t>A relatora originária havia concedido liminar, fundamentando-se na Súmula 347 do STF, que trata do controle de constitucionalidade pelos Tribunais de Contas. Contudo, prevaleceu o voto divergente, que sustentou que a lei estadual goza de presunção de constitucionalidade e que a atuação do Tribunal de Contas como </w:t>
      </w:r>
      <w:r>
        <w:rPr>
          <w:rFonts w:ascii="Arial" w:hAnsi="Arial"/>
          <w:i/>
        </w:rPr>
        <w:t>longa manus </w:t>
      </w:r>
      <w:r>
        <w:rPr/>
        <w:t>do STF só é legítima quando há jurisprudência consolidada da Suprema Corte sobre o tema, o que não ocorre no caso concreto. A divergência também destacou que um precedente idêntico teve sua eficácia suspensa por liminar do Tribunal de Justiça do Estado Ceará.</w:t>
      </w:r>
    </w:p>
    <w:p>
      <w:pPr>
        <w:pStyle w:val="BodyText"/>
        <w:spacing w:before="140"/>
        <w:ind w:left="155" w:right="27"/>
        <w:jc w:val="both"/>
      </w:pPr>
      <w:r>
        <w:rPr/>
        <w:t>Diante da controvérsia jurídica, o Pleno Presencial do Tribunal de Contas do Estado do Ceará, por maioria de votos, revogou os efeitos da medida cautelar e determinou o regular prosseguimento dos certames.</w:t>
      </w:r>
    </w:p>
    <w:p>
      <w:pPr>
        <w:pStyle w:val="BodyText"/>
        <w:spacing w:before="185"/>
      </w:pPr>
    </w:p>
    <w:p>
      <w:pPr>
        <w:spacing w:before="0"/>
        <w:ind w:left="211" w:right="0" w:firstLine="0"/>
        <w:jc w:val="both"/>
        <w:rPr>
          <w:sz w:val="18"/>
        </w:rPr>
      </w:pPr>
      <w:r>
        <w:rPr>
          <w:sz w:val="18"/>
        </w:rPr>
        <w:t>Processo</w:t>
      </w:r>
      <w:r>
        <w:rPr>
          <w:spacing w:val="-1"/>
          <w:sz w:val="18"/>
        </w:rPr>
        <w:t> </w:t>
      </w:r>
      <w:r>
        <w:rPr>
          <w:sz w:val="18"/>
        </w:rPr>
        <w:t>n.º15662/2025-5.</w:t>
      </w:r>
      <w:r>
        <w:rPr>
          <w:spacing w:val="-3"/>
          <w:sz w:val="18"/>
        </w:rPr>
        <w:t> </w:t>
      </w:r>
      <w:r>
        <w:rPr>
          <w:sz w:val="18"/>
        </w:rPr>
        <w:t>Relator(a):</w:t>
      </w:r>
      <w:r>
        <w:rPr>
          <w:spacing w:val="-5"/>
          <w:sz w:val="18"/>
        </w:rPr>
        <w:t> </w:t>
      </w:r>
      <w:r>
        <w:rPr>
          <w:sz w:val="18"/>
        </w:rPr>
        <w:t>Cons.</w:t>
      </w:r>
      <w:r>
        <w:rPr>
          <w:spacing w:val="-1"/>
          <w:sz w:val="18"/>
        </w:rPr>
        <w:t> </w:t>
      </w:r>
      <w:r>
        <w:rPr>
          <w:sz w:val="18"/>
        </w:rPr>
        <w:t>Patrícia</w:t>
      </w:r>
      <w:r>
        <w:rPr>
          <w:spacing w:val="-2"/>
          <w:sz w:val="18"/>
        </w:rPr>
        <w:t> </w:t>
      </w:r>
      <w:r>
        <w:rPr>
          <w:sz w:val="18"/>
        </w:rPr>
        <w:t>Saboya</w:t>
      </w:r>
      <w:r>
        <w:rPr>
          <w:spacing w:val="-3"/>
          <w:sz w:val="18"/>
        </w:rPr>
        <w:t> </w:t>
      </w:r>
      <w:r>
        <w:rPr>
          <w:sz w:val="18"/>
        </w:rPr>
        <w:t>.</w:t>
      </w:r>
      <w:r>
        <w:rPr>
          <w:spacing w:val="48"/>
          <w:sz w:val="18"/>
        </w:rPr>
        <w:t> </w:t>
      </w:r>
      <w:r>
        <w:rPr>
          <w:sz w:val="18"/>
        </w:rPr>
        <w:t>Sessão</w:t>
      </w:r>
      <w:r>
        <w:rPr>
          <w:spacing w:val="51"/>
          <w:sz w:val="18"/>
        </w:rPr>
        <w:t> </w:t>
      </w:r>
      <w:r>
        <w:rPr>
          <w:sz w:val="18"/>
        </w:rPr>
        <w:t>do</w:t>
      </w:r>
      <w:r>
        <w:rPr>
          <w:spacing w:val="-3"/>
          <w:sz w:val="18"/>
        </w:rPr>
        <w:t> </w:t>
      </w:r>
      <w:r>
        <w:rPr>
          <w:sz w:val="18"/>
        </w:rPr>
        <w:t>Pleno</w:t>
      </w:r>
      <w:r>
        <w:rPr>
          <w:spacing w:val="-1"/>
          <w:sz w:val="18"/>
        </w:rPr>
        <w:t> </w:t>
      </w:r>
      <w:r>
        <w:rPr>
          <w:sz w:val="18"/>
        </w:rPr>
        <w:t>08/07/2025.</w:t>
      </w:r>
      <w:r>
        <w:rPr>
          <w:spacing w:val="2"/>
          <w:sz w:val="18"/>
        </w:rPr>
        <w:t> </w:t>
      </w:r>
      <w:r>
        <w:rPr>
          <w:sz w:val="18"/>
        </w:rPr>
        <w:t>Ata</w:t>
      </w:r>
      <w:r>
        <w:rPr>
          <w:spacing w:val="-3"/>
          <w:sz w:val="18"/>
        </w:rPr>
        <w:t> </w:t>
      </w:r>
      <w:r>
        <w:rPr>
          <w:sz w:val="18"/>
        </w:rPr>
        <w:t>n.º006/2025.</w:t>
      </w:r>
      <w:r>
        <w:rPr>
          <w:spacing w:val="46"/>
          <w:sz w:val="18"/>
        </w:rPr>
        <w:t> </w:t>
      </w:r>
      <w:r>
        <w:rPr>
          <w:sz w:val="18"/>
        </w:rPr>
        <w:t>D.O.</w:t>
      </w:r>
      <w:r>
        <w:rPr>
          <w:spacing w:val="-2"/>
          <w:sz w:val="18"/>
        </w:rPr>
        <w:t> 10/09/2025</w:t>
      </w:r>
    </w:p>
    <w:sectPr>
      <w:pgSz w:w="11910" w:h="16840"/>
      <w:pgMar w:header="0" w:footer="760" w:top="1920" w:bottom="96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511040">
          <wp:simplePos x="0" y="0"/>
          <wp:positionH relativeFrom="page">
            <wp:posOffset>18288</wp:posOffset>
          </wp:positionH>
          <wp:positionV relativeFrom="page">
            <wp:posOffset>10082784</wp:posOffset>
          </wp:positionV>
          <wp:extent cx="7540751" cy="58216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0751" cy="582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78" w:hanging="2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33" w:hanging="2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7" w:hanging="2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0" w:hanging="2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4" w:hanging="2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47" w:hanging="2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1" w:hanging="2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4" w:hanging="2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8" w:hanging="223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55" w:right="18"/>
      <w:jc w:val="both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40"/>
      <w:ind w:left="155" w:right="29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MOTA MARTINS</dc:creator>
  <dc:title>INFORMATIVO JULHO - VersÃ£o Teca, Talita, Guilherme e Lucas.odt</dc:title>
  <dcterms:created xsi:type="dcterms:W3CDTF">2025-10-06T13:59:51Z</dcterms:created>
  <dcterms:modified xsi:type="dcterms:W3CDTF">2025-10-06T13:59:51Z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LastSaved">
    <vt:filetime>2025-10-06T00:00:00Z</vt:filetime>
  </property>
  <property fmtid="{D5CDD505-2E9C-101B-9397-08002B2CF9AE}" pid="4" name="Producer">
    <vt:lpwstr>Microsoft: Print To PDF</vt:lpwstr>
  </property>
</Properties>
</file>