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1270</wp:posOffset>
                </wp:positionH>
                <wp:positionV relativeFrom="page">
                  <wp:posOffset>2049</wp:posOffset>
                </wp:positionV>
                <wp:extent cx="7557770" cy="160909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7770" cy="1609090"/>
                          <a:chExt cx="7557770" cy="160909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770" cy="1609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4000500" y="1442117"/>
                            <a:ext cx="173990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Fortaleza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CE),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Ano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2023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1pt;margin-top:.161389pt;width:595.1pt;height:126.7pt;mso-position-horizontal-relative:page;mso-position-vertical-relative:page;z-index:15729664" id="docshapegroup1" coordorigin="2,3" coordsize="11902,2534">
                <v:shape style="position:absolute;left:2;top:3;width:11902;height:2534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302;top:2274;width:2740;height:242" type="#_x0000_t202" id="docshape3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Fortaleza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CE),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Ano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2023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10"/>
                            <w:sz w:val="18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6"/>
        <w:rPr>
          <w:rFonts w:ascii="Times New Roman"/>
        </w:rPr>
      </w:pPr>
    </w:p>
    <w:p>
      <w:pPr>
        <w:pStyle w:val="BodyText"/>
        <w:ind w:left="12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6675120" cy="1742439"/>
                <wp:effectExtent l="0" t="0" r="0" b="63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75120" cy="1742439"/>
                          <a:chExt cx="6675120" cy="1742439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0" cy="1742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675120" cy="17424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auto" w:before="185"/>
                                <w:ind w:left="172" w:right="155" w:firstLine="0"/>
                                <w:jc w:val="both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Este Informativo contém informações de decisões proferidas pelos Colegiados do TCE, que receberam indicação de relevância sob o prisma jurisprudencial no período de julho de 2023. As informações aqui apresentadas não constituem, todavia, o resumo oficial da decisão proferida pelo Tribunal nem representam, necessariamente, o posicionamento prevalente do TCE. O objetivo é facilitar ao interessado o acompanhamento dos acórdãos/resoluções mais importantes do Tribunal. Para aprofundamento, o leitor pode acessar o inteiro teor das deliberações clicando em cima do número do processo.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.6pt;height:137.2pt;mso-position-horizontal-relative:char;mso-position-vertical-relative:line" id="docshapegroup4" coordorigin="0,0" coordsize="10512,2744">
                <v:shape style="position:absolute;left:0;top:0;width:10512;height:2744" type="#_x0000_t75" id="docshape5" stroked="false">
                  <v:imagedata r:id="rId7" o:title=""/>
                </v:shape>
                <v:shape style="position:absolute;left:0;top:0;width:10512;height:2744" type="#_x0000_t202" id="docshape6" filled="false" stroked="false">
                  <v:textbox inset="0,0,0,0">
                    <w:txbxContent>
                      <w:p>
                        <w:pPr>
                          <w:spacing w:line="268" w:lineRule="auto" w:before="185"/>
                          <w:ind w:left="172" w:right="155" w:firstLine="0"/>
                          <w:jc w:val="both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Este Informativo contém informações de decisões proferidas pelos Colegiados do TCE, que receberam indicação de relevância sob o prisma jurisprudencial no período de julho de 2023. As informações aqui apresentadas não constituem, todavia, o resumo oficial da decisão proferida pelo Tribunal nem representam, necessariamente, o posicionamento prevalente do TCE. O objetivo é facilitar ao interessado o acompanhamento dos acórdãos/resoluções mais importantes do Tribunal. Para aprofundamento, o leitor pode acessar o inteiro teor das deliberações clicando em cima do número do processo.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96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499109</wp:posOffset>
                </wp:positionH>
                <wp:positionV relativeFrom="paragraph">
                  <wp:posOffset>222262</wp:posOffset>
                </wp:positionV>
                <wp:extent cx="6553834" cy="31115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553834" cy="311150"/>
                          <a:chExt cx="6553834" cy="31115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471" cy="311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553834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9"/>
                                <w:ind w:left="13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PARECER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PRÉVIO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198/2023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99999pt;margin-top:17.500977pt;width:516.0500pt;height:24.5pt;mso-position-horizontal-relative:page;mso-position-vertical-relative:paragraph;z-index:-15728128;mso-wrap-distance-left:0;mso-wrap-distance-right:0" id="docshapegroup7" coordorigin="786,350" coordsize="10321,490">
                <v:shape style="position:absolute;left:786;top:350;width:10321;height:490" type="#_x0000_t75" id="docshape8" stroked="false">
                  <v:imagedata r:id="rId8" o:title=""/>
                </v:shape>
                <v:shape style="position:absolute;left:786;top:350;width:10321;height:490" type="#_x0000_t202" id="docshape9" filled="false" stroked="false">
                  <v:textbox inset="0,0,0,0">
                    <w:txbxContent>
                      <w:p>
                        <w:pPr>
                          <w:spacing w:before="99"/>
                          <w:ind w:left="13" w:right="0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PARECER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PRÉVIO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198/2023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38"/>
        <w:rPr>
          <w:rFonts w:ascii="Times New Roman"/>
          <w:sz w:val="24"/>
        </w:rPr>
      </w:pPr>
    </w:p>
    <w:p>
      <w:pPr>
        <w:pStyle w:val="Heading1"/>
        <w:spacing w:line="360" w:lineRule="auto"/>
        <w:ind w:right="168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1570989</wp:posOffset>
            </wp:positionH>
            <wp:positionV relativeFrom="paragraph">
              <wp:posOffset>-633715</wp:posOffset>
            </wp:positionV>
            <wp:extent cx="26730" cy="14001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0" cy="14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PRESTAÇÃO DE CONTAS DE GOVERNO. LRF. DESPESAS COM PESSOAL. DESCUMPRIMENTO. ESTADO DE CALAMIDADE PÚBLICA. PANDEMIA. COVID-19. REGULARIDADE COM RESSALVAS.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BodyText"/>
        <w:spacing w:line="360" w:lineRule="auto"/>
        <w:ind w:left="16" w:right="170"/>
        <w:jc w:val="both"/>
      </w:pPr>
      <w:r>
        <w:rPr/>
        <w:t>Prestação de Contas de Governo do município de Tarrafas relativas ao exercício financeiro de 2020. Em análise das presentes contas, observou-se que a despesa com pessoal do Poder Executivo representou 72% (R$ 16.471.313,75), descumprindo, desta forma, o limite legal estabelecido no art. 20, III, “b”, o qual não deve ultrapassar o percentual de 54% da Receita Corrente Líquida do período da apuração. Considerando a decretação de estado de calamidade pública no Estado do Ceará em decorrência do contexto atual de enfrentamento à pandemia do COVID-19, conforme disciplinado no art. 1º do Decreto Legislativo da Assembleia Estadual do Ceará nº 543/2020, enquanto o prazo estabelecido estava em vigência, ficaram suspensas a contagem dos prazos e as disposições estabelecidas nos arts.</w:t>
      </w:r>
      <w:r>
        <w:rPr>
          <w:spacing w:val="40"/>
        </w:rPr>
        <w:t> </w:t>
      </w:r>
      <w:r>
        <w:rPr/>
        <w:t>23,</w:t>
      </w:r>
      <w:r>
        <w:rPr>
          <w:spacing w:val="-2"/>
        </w:rPr>
        <w:t> </w:t>
      </w:r>
      <w:r>
        <w:rPr/>
        <w:t>31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70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Complementar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101/2000,</w:t>
      </w:r>
      <w:r>
        <w:rPr>
          <w:spacing w:val="-3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ficaram</w:t>
      </w:r>
      <w:r>
        <w:rPr>
          <w:spacing w:val="-3"/>
        </w:rPr>
        <w:t> </w:t>
      </w:r>
      <w:r>
        <w:rPr/>
        <w:t>dispensados</w:t>
      </w:r>
      <w:r>
        <w:rPr>
          <w:spacing w:val="-2"/>
        </w:rPr>
        <w:t> </w:t>
      </w:r>
      <w:r>
        <w:rPr/>
        <w:t>os</w:t>
      </w:r>
      <w:r>
        <w:rPr>
          <w:spacing w:val="-3"/>
        </w:rPr>
        <w:t> </w:t>
      </w:r>
      <w:r>
        <w:rPr/>
        <w:t>limites,</w:t>
      </w:r>
      <w:r>
        <w:rPr>
          <w:spacing w:val="-2"/>
        </w:rPr>
        <w:t> </w:t>
      </w:r>
      <w:r>
        <w:rPr/>
        <w:t>condições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demais</w:t>
      </w:r>
      <w:r>
        <w:rPr>
          <w:spacing w:val="-2"/>
        </w:rPr>
        <w:t> </w:t>
      </w:r>
      <w:r>
        <w:rPr/>
        <w:t>restrições aplicáveis à União, aos Estados, ao Distrito Federal e aos Municípios, bem como sua verificação, para contratação e aditamento de operações de crédito, concessão de garantias, contratação entre entes da Federação e recebimento de transferências voluntárias, de acordo com as disposições do art. 65 da mesma lei. Logo, foi recomendada à administração municipal que, no último ano do mandato, evite a prática de atos que possam levar ao aumento das despesas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pessoal</w:t>
      </w:r>
      <w:r>
        <w:rPr>
          <w:spacing w:val="-2"/>
        </w:rPr>
        <w:t> </w:t>
      </w:r>
      <w:r>
        <w:rPr/>
        <w:t>nos</w:t>
      </w:r>
      <w:r>
        <w:rPr>
          <w:spacing w:val="-3"/>
        </w:rPr>
        <w:t> </w:t>
      </w:r>
      <w:r>
        <w:rPr/>
        <w:t>últimos</w:t>
      </w:r>
      <w:r>
        <w:rPr>
          <w:spacing w:val="-1"/>
        </w:rPr>
        <w:t> </w:t>
      </w:r>
      <w:r>
        <w:rPr/>
        <w:t>180</w:t>
      </w:r>
      <w:r>
        <w:rPr>
          <w:spacing w:val="-2"/>
        </w:rPr>
        <w:t> </w:t>
      </w:r>
      <w:r>
        <w:rPr/>
        <w:t>dias,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infringência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art.</w:t>
      </w:r>
      <w:r>
        <w:rPr>
          <w:spacing w:val="-1"/>
        </w:rPr>
        <w:t> </w:t>
      </w:r>
      <w:r>
        <w:rPr/>
        <w:t>21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Responsabilidade</w:t>
      </w:r>
      <w:r>
        <w:rPr>
          <w:spacing w:val="-1"/>
        </w:rPr>
        <w:t> </w:t>
      </w:r>
      <w:r>
        <w:rPr/>
        <w:t>Fiscal.</w:t>
      </w:r>
      <w:r>
        <w:rPr>
          <w:spacing w:val="-3"/>
        </w:rPr>
        <w:t> </w:t>
      </w:r>
      <w:r>
        <w:rPr/>
        <w:t>O Pleno Virtual do Tribunal de Contas do Estado do Ceará, em sessão ordinária virtual, dando cumprimento ao disposto art. 71, inciso I da</w:t>
      </w:r>
      <w:r>
        <w:rPr>
          <w:spacing w:val="-2"/>
        </w:rPr>
        <w:t> </w:t>
      </w:r>
      <w:r>
        <w:rPr/>
        <w:t>Constituição</w:t>
      </w:r>
      <w:r>
        <w:rPr>
          <w:spacing w:val="-2"/>
        </w:rPr>
        <w:t> </w:t>
      </w:r>
      <w:r>
        <w:rPr/>
        <w:t>Federal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consoante</w:t>
      </w:r>
      <w:r>
        <w:rPr>
          <w:spacing w:val="-2"/>
        </w:rPr>
        <w:t> </w:t>
      </w:r>
      <w:r>
        <w:rPr/>
        <w:t>o referido pelo</w:t>
      </w:r>
      <w:r>
        <w:rPr>
          <w:spacing w:val="-2"/>
        </w:rPr>
        <w:t> </w:t>
      </w:r>
      <w:r>
        <w:rPr/>
        <w:t>Art. 78,</w:t>
      </w:r>
      <w:r>
        <w:rPr>
          <w:spacing w:val="-2"/>
        </w:rPr>
        <w:t> </w:t>
      </w:r>
      <w:r>
        <w:rPr/>
        <w:t>inciso I, da Constituição Estadual, apreciou</w:t>
      </w:r>
      <w:r>
        <w:rPr>
          <w:spacing w:val="-2"/>
        </w:rPr>
        <w:t> </w:t>
      </w:r>
      <w:r>
        <w:rPr/>
        <w:t>a presente Prestação de Contas e ao examinar e discutir a matéria, por unanimidade de votos, decidiu pela emissão de Parecer Prévio favorável à aprovação das Contas de Governo ora examinadas, considerando-as regulares com ressalvas,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recomendações</w:t>
      </w:r>
      <w:r>
        <w:rPr>
          <w:spacing w:val="-1"/>
        </w:rPr>
        <w:t> </w:t>
      </w:r>
      <w:r>
        <w:rPr/>
        <w:t>constantes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voto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Relator,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integrante</w:t>
      </w:r>
      <w:r>
        <w:rPr>
          <w:spacing w:val="-1"/>
        </w:rPr>
        <w:t> </w:t>
      </w:r>
      <w:r>
        <w:rPr/>
        <w:t>desta</w:t>
      </w:r>
      <w:r>
        <w:rPr>
          <w:spacing w:val="-3"/>
        </w:rPr>
        <w:t> </w:t>
      </w:r>
      <w:r>
        <w:rPr/>
        <w:t>deliberação,</w:t>
      </w:r>
      <w:r>
        <w:rPr>
          <w:spacing w:val="-1"/>
        </w:rPr>
        <w:t> </w:t>
      </w:r>
      <w:r>
        <w:rPr/>
        <w:t>submetendo-as</w:t>
      </w:r>
      <w:r>
        <w:rPr>
          <w:spacing w:val="-1"/>
        </w:rPr>
        <w:t> </w:t>
      </w:r>
      <w:r>
        <w:rPr/>
        <w:t>ao julgamento político a ser realizado pela Câmara Municipal e dando-se ciência aos interessados.</w:t>
      </w:r>
    </w:p>
    <w:p>
      <w:pPr>
        <w:pStyle w:val="BodyText"/>
        <w:spacing w:before="184"/>
      </w:pPr>
    </w:p>
    <w:p>
      <w:pPr>
        <w:tabs>
          <w:tab w:pos="2833" w:val="left" w:leader="none"/>
          <w:tab w:pos="6003" w:val="left" w:leader="none"/>
          <w:tab w:pos="7146" w:val="left" w:leader="none"/>
          <w:tab w:pos="9198" w:val="left" w:leader="none"/>
        </w:tabs>
        <w:spacing w:before="1"/>
        <w:ind w:left="299" w:right="0" w:firstLine="0"/>
        <w:jc w:val="left"/>
        <w:rPr>
          <w:sz w:val="18"/>
        </w:rPr>
      </w:pPr>
      <w:r>
        <w:rPr>
          <w:sz w:val="18"/>
        </w:rPr>
        <w:t>Processo</w:t>
      </w:r>
      <w:r>
        <w:rPr>
          <w:spacing w:val="-6"/>
          <w:sz w:val="18"/>
        </w:rPr>
        <w:t> </w:t>
      </w:r>
      <w:r>
        <w:rPr>
          <w:sz w:val="18"/>
        </w:rPr>
        <w:t>n.°:</w:t>
      </w:r>
      <w:r>
        <w:rPr>
          <w:spacing w:val="-5"/>
          <w:sz w:val="18"/>
        </w:rPr>
        <w:t> </w:t>
      </w:r>
      <w:r>
        <w:rPr>
          <w:sz w:val="18"/>
        </w:rPr>
        <w:t>07485/2021-</w:t>
      </w:r>
      <w:r>
        <w:rPr>
          <w:spacing w:val="-10"/>
          <w:sz w:val="18"/>
        </w:rPr>
        <w:t>7</w:t>
      </w:r>
      <w:r>
        <w:rPr>
          <w:sz w:val="18"/>
        </w:rPr>
        <w:tab/>
        <w:t>Relator:</w:t>
      </w:r>
      <w:r>
        <w:rPr>
          <w:spacing w:val="-9"/>
          <w:sz w:val="18"/>
        </w:rPr>
        <w:t> </w:t>
      </w:r>
      <w:r>
        <w:rPr>
          <w:sz w:val="18"/>
        </w:rPr>
        <w:t>Conselheiro</w:t>
      </w:r>
      <w:r>
        <w:rPr>
          <w:spacing w:val="-7"/>
          <w:sz w:val="18"/>
        </w:rPr>
        <w:t> </w:t>
      </w:r>
      <w:r>
        <w:rPr>
          <w:sz w:val="18"/>
        </w:rPr>
        <w:t>Ernesto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Saboia</w:t>
      </w:r>
      <w:r>
        <w:rPr>
          <w:sz w:val="18"/>
        </w:rPr>
        <w:tab/>
        <w:t>Ata</w:t>
      </w:r>
      <w:r>
        <w:rPr>
          <w:spacing w:val="-5"/>
          <w:sz w:val="18"/>
        </w:rPr>
        <w:t> </w:t>
      </w:r>
      <w:r>
        <w:rPr>
          <w:sz w:val="18"/>
        </w:rPr>
        <w:t>n.°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165</w:t>
      </w:r>
      <w:r>
        <w:rPr>
          <w:sz w:val="18"/>
        </w:rPr>
        <w:tab/>
        <w:t>Sessão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03/07/2023</w:t>
      </w:r>
      <w:r>
        <w:rPr>
          <w:sz w:val="18"/>
        </w:rPr>
        <w:tab/>
        <w:t>DO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24/07/2023.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1910" w:h="16840"/>
          <w:pgMar w:header="0" w:footer="660" w:top="0" w:bottom="860" w:left="566" w:right="42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left="102"/>
      </w:pPr>
      <w:r>
        <w:rPr/>
        <mc:AlternateContent>
          <mc:Choice Requires="wps">
            <w:drawing>
              <wp:inline distT="0" distB="0" distL="0" distR="0">
                <wp:extent cx="6822440" cy="349250"/>
                <wp:effectExtent l="0" t="0" r="0" b="317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822440" cy="349250"/>
                          <a:chExt cx="6822440" cy="34925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2439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822440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6" w:right="116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ACÓRDÃO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1898/2023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2pt;height:27.5pt;mso-position-horizontal-relative:char;mso-position-vertical-relative:line" id="docshapegroup10" coordorigin="0,0" coordsize="10744,550">
                <v:shape style="position:absolute;left:0;top:0;width:10744;height:550" type="#_x0000_t75" id="docshape11" stroked="false">
                  <v:imagedata r:id="rId12" o:title=""/>
                </v:shape>
                <v:shape style="position:absolute;left:0;top:0;width:10744;height:550" type="#_x0000_t202" id="docshape12" filled="false" stroked="false">
                  <v:textbox inset="0,0,0,0">
                    <w:txbxContent>
                      <w:p>
                        <w:pPr>
                          <w:spacing w:before="173"/>
                          <w:ind w:left="6" w:right="116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ACÓRDÃO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1898/2023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150"/>
        <w:rPr>
          <w:sz w:val="24"/>
        </w:rPr>
      </w:pPr>
    </w:p>
    <w:p>
      <w:pPr>
        <w:pStyle w:val="Heading1"/>
        <w:spacing w:line="360" w:lineRule="auto"/>
        <w:ind w:right="166"/>
      </w:pPr>
      <w:r>
        <w:rPr/>
        <w:t>RECURSO DE RECONSIDERAÇÃO. LICITAÇÃO. CONTRATAÇÃO. IRREGULARIDADE. PROFISSIONAIS DE SAÚDE. LRF. DESCUMPRIMENTO. REDUÇÃO DA MULTA. PROVIMENTO </w:t>
      </w:r>
      <w:r>
        <w:rPr>
          <w:spacing w:val="-2"/>
        </w:rPr>
        <w:t>PARCIAL.</w:t>
      </w:r>
    </w:p>
    <w:p>
      <w:pPr>
        <w:pStyle w:val="BodyText"/>
        <w:spacing w:before="87"/>
        <w:rPr>
          <w:rFonts w:ascii="Arial"/>
          <w:b/>
          <w:sz w:val="24"/>
        </w:rPr>
      </w:pPr>
    </w:p>
    <w:p>
      <w:pPr>
        <w:pStyle w:val="BodyText"/>
        <w:spacing w:line="360" w:lineRule="auto"/>
        <w:ind w:left="16" w:right="169"/>
        <w:jc w:val="both"/>
      </w:pPr>
      <w:r>
        <w:rPr/>
        <w:t>Recurso de Reconsideração interposto pelo ex-gestor da Secretaria de Saúde do município de Salitre, exercício de</w:t>
      </w:r>
      <w:r>
        <w:rPr>
          <w:spacing w:val="40"/>
        </w:rPr>
        <w:t> </w:t>
      </w:r>
      <w:r>
        <w:rPr/>
        <w:t>2013, em face do Acórdão nº 2888/2019 e respectivos fundamentos, proferido pela Segunda Câmara do Tribunal de Contas do Estado do Ceará. O município de Salitre, por meio da Secretaria de Saúde, contratou profissionais de saúde, médicos e odontólogos, através de licitação, o que configura meio irregular para contratação de pessoal e violação ao art. 37, II da CF/88, além do que a classificação das despesas mencionadas, desobedeceram o que estabelece o inciso III, b, do art. 20 da Lei de Responsabilidade Fiscal, visto “(...) que essas despesas foram classificadas no elemento de gasto – OUTROS SERVIÇOS DE TERCEIROS – PESSOA FÍSICA, ao invés do elemento de gasto – VENCIMENTOS E VANTAGENS FIXAS – PESSOAL CIVIL, consequentemente, tais despesas não serão computadas para efeito de</w:t>
      </w:r>
      <w:r>
        <w:rPr>
          <w:spacing w:val="40"/>
        </w:rPr>
        <w:t> </w:t>
      </w:r>
      <w:r>
        <w:rPr/>
        <w:t>cálculo no limite de Pessoal”. Por se tratar de serviços na área da saúde, que é uma das atividades da administração pública vital à população e, levando em consideração a carência desses profissionais nos municípios, bem assim levando em consideração que a defendente realizou a contratação temporária desses profissionais da saúde por meio</w:t>
      </w:r>
      <w:r>
        <w:rPr>
          <w:spacing w:val="40"/>
        </w:rPr>
        <w:t> </w:t>
      </w:r>
      <w:r>
        <w:rPr/>
        <w:t>do processo administrativo, atendendo aos pressupostos elencados na lei de licitações, o qual se encontra apensado aos autos principais junto com os contratos firmados com tais profissionais do processo originário. Portanto, quanto a contratação de profissionais de saúde sem licitação foi descaracteriza esta falha. Ademais, a classificação orçamentária foi</w:t>
      </w:r>
      <w:r>
        <w:rPr>
          <w:spacing w:val="-1"/>
        </w:rPr>
        <w:t> </w:t>
      </w:r>
      <w:r>
        <w:rPr/>
        <w:t>realizada de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indevida.</w:t>
      </w:r>
      <w:r>
        <w:rPr>
          <w:spacing w:val="-2"/>
        </w:rPr>
        <w:t> </w:t>
      </w:r>
      <w:r>
        <w:rPr/>
        <w:t>Foi</w:t>
      </w:r>
      <w:r>
        <w:rPr>
          <w:spacing w:val="-3"/>
        </w:rPr>
        <w:t> </w:t>
      </w:r>
      <w:r>
        <w:rPr/>
        <w:t>constatado no</w:t>
      </w:r>
      <w:r>
        <w:rPr>
          <w:spacing w:val="-2"/>
        </w:rPr>
        <w:t> </w:t>
      </w:r>
      <w:r>
        <w:rPr/>
        <w:t>Acórdão recorrido,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classificação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despesa</w:t>
      </w:r>
      <w:r>
        <w:rPr>
          <w:spacing w:val="-2"/>
        </w:rPr>
        <w:t> </w:t>
      </w:r>
      <w:r>
        <w:rPr/>
        <w:t>foi</w:t>
      </w:r>
      <w:r>
        <w:rPr>
          <w:spacing w:val="-1"/>
        </w:rPr>
        <w:t> </w:t>
      </w:r>
      <w:r>
        <w:rPr/>
        <w:t>feita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maneira irregular, prejudicando a contabilização da apuração da despesa total com a despesa de pessoal, conforme preconiza o art. 20, III,</w:t>
      </w:r>
      <w:r>
        <w:rPr>
          <w:spacing w:val="-2"/>
        </w:rPr>
        <w:t> </w:t>
      </w:r>
      <w:r>
        <w:rPr/>
        <w:t>“b”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Responsabilidade Fiscal, ante a</w:t>
      </w:r>
      <w:r>
        <w:rPr>
          <w:spacing w:val="-2"/>
        </w:rPr>
        <w:t> </w:t>
      </w:r>
      <w:r>
        <w:rPr/>
        <w:t>classificação orçamentária indevida das despesas referentes as contratações de profissionais de saúde em afronta a Lei de responsabilidade fiscal, com fundamento no art. 62, II da LOTCE. O Pleno Virtual do Tribunal de Contas do Estado do Ceará, por unanimidade dos votos, conheceu/admitiu a presente Interposição de Recurso - Reconsideração, e, no mérito, deu-lhe provimento parcial e, por maioria dos votos, reformando a decisão recorrida, considerando as contas regulares com ressalva e reduzindo a multa.</w:t>
      </w:r>
    </w:p>
    <w:p>
      <w:pPr>
        <w:pStyle w:val="BodyText"/>
        <w:spacing w:before="116"/>
      </w:pPr>
    </w:p>
    <w:p>
      <w:pPr>
        <w:spacing w:before="1"/>
        <w:ind w:left="16" w:right="0" w:firstLine="0"/>
        <w:jc w:val="both"/>
        <w:rPr>
          <w:sz w:val="18"/>
        </w:rPr>
      </w:pPr>
      <w:r>
        <w:rPr>
          <w:sz w:val="18"/>
        </w:rPr>
        <w:t>Processo</w:t>
      </w:r>
      <w:r>
        <w:rPr>
          <w:spacing w:val="-5"/>
          <w:sz w:val="18"/>
        </w:rPr>
        <w:t> </w:t>
      </w:r>
      <w:r>
        <w:rPr>
          <w:sz w:val="18"/>
        </w:rPr>
        <w:t>n.º:</w:t>
      </w:r>
      <w:r>
        <w:rPr>
          <w:spacing w:val="-3"/>
          <w:sz w:val="18"/>
        </w:rPr>
        <w:t> </w:t>
      </w:r>
      <w:r>
        <w:rPr>
          <w:sz w:val="18"/>
        </w:rPr>
        <w:t>07693/2019-7</w:t>
      </w:r>
      <w:r>
        <w:rPr>
          <w:spacing w:val="69"/>
          <w:w w:val="150"/>
          <w:sz w:val="18"/>
        </w:rPr>
        <w:t>  </w:t>
      </w:r>
      <w:r>
        <w:rPr>
          <w:sz w:val="18"/>
        </w:rPr>
        <w:t>Relator:</w:t>
      </w:r>
      <w:r>
        <w:rPr>
          <w:spacing w:val="-3"/>
          <w:sz w:val="18"/>
        </w:rPr>
        <w:t> </w:t>
      </w:r>
      <w:r>
        <w:rPr>
          <w:sz w:val="18"/>
        </w:rPr>
        <w:t>Conselheiro</w:t>
      </w:r>
      <w:r>
        <w:rPr>
          <w:spacing w:val="-1"/>
          <w:sz w:val="18"/>
        </w:rPr>
        <w:t> </w:t>
      </w:r>
      <w:r>
        <w:rPr>
          <w:sz w:val="18"/>
        </w:rPr>
        <w:t>Ernesto</w:t>
      </w:r>
      <w:r>
        <w:rPr>
          <w:spacing w:val="-3"/>
          <w:sz w:val="18"/>
        </w:rPr>
        <w:t> </w:t>
      </w:r>
      <w:r>
        <w:rPr>
          <w:sz w:val="18"/>
        </w:rPr>
        <w:t>Saboia</w:t>
      </w:r>
      <w:r>
        <w:rPr>
          <w:spacing w:val="70"/>
          <w:sz w:val="18"/>
        </w:rPr>
        <w:t>  </w:t>
      </w:r>
      <w:r>
        <w:rPr>
          <w:sz w:val="18"/>
        </w:rPr>
        <w:t>Ata</w:t>
      </w:r>
      <w:r>
        <w:rPr>
          <w:spacing w:val="-3"/>
          <w:sz w:val="18"/>
        </w:rPr>
        <w:t> </w:t>
      </w:r>
      <w:r>
        <w:rPr>
          <w:sz w:val="18"/>
        </w:rPr>
        <w:t>n.°</w:t>
      </w:r>
      <w:r>
        <w:rPr>
          <w:spacing w:val="-3"/>
          <w:sz w:val="18"/>
        </w:rPr>
        <w:t> </w:t>
      </w:r>
      <w:r>
        <w:rPr>
          <w:sz w:val="18"/>
        </w:rPr>
        <w:t>165</w:t>
      </w:r>
      <w:r>
        <w:rPr>
          <w:spacing w:val="46"/>
          <w:sz w:val="18"/>
        </w:rPr>
        <w:t>  </w:t>
      </w:r>
      <w:r>
        <w:rPr>
          <w:sz w:val="18"/>
        </w:rPr>
        <w:t>Sessão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03/07/2023</w:t>
      </w:r>
      <w:r>
        <w:rPr>
          <w:spacing w:val="69"/>
          <w:w w:val="150"/>
          <w:sz w:val="18"/>
        </w:rPr>
        <w:t>  </w:t>
      </w:r>
      <w:r>
        <w:rPr>
          <w:sz w:val="18"/>
        </w:rPr>
        <w:t>DO</w:t>
      </w:r>
      <w:r>
        <w:rPr>
          <w:spacing w:val="-2"/>
          <w:sz w:val="18"/>
        </w:rPr>
        <w:t> 24/07/2023.</w:t>
      </w:r>
    </w:p>
    <w:p>
      <w:pPr>
        <w:spacing w:after="0"/>
        <w:jc w:val="both"/>
        <w:rPr>
          <w:sz w:val="18"/>
        </w:rPr>
        <w:sectPr>
          <w:headerReference w:type="default" r:id="rId10"/>
          <w:footerReference w:type="default" r:id="rId11"/>
          <w:pgSz w:w="11910" w:h="16840"/>
          <w:pgMar w:header="25" w:footer="716" w:top="860" w:bottom="900" w:left="566" w:right="425"/>
        </w:sectPr>
      </w:pPr>
    </w:p>
    <w:p>
      <w:pPr>
        <w:pStyle w:val="BodyText"/>
      </w:pPr>
    </w:p>
    <w:p>
      <w:pPr>
        <w:pStyle w:val="BodyText"/>
        <w:spacing w:before="176"/>
      </w:pPr>
    </w:p>
    <w:p>
      <w:pPr>
        <w:pStyle w:val="BodyText"/>
        <w:ind w:left="12"/>
      </w:pPr>
      <w:r>
        <w:rPr/>
        <mc:AlternateContent>
          <mc:Choice Requires="wps">
            <w:drawing>
              <wp:inline distT="0" distB="0" distL="0" distR="0">
                <wp:extent cx="6822440" cy="347980"/>
                <wp:effectExtent l="0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22440" cy="347980"/>
                          <a:chExt cx="6822440" cy="34798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2439" cy="3479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822440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9"/>
                                <w:ind w:left="115" w:right="11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RESOLUÇÃO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4564/2023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2pt;height:27.4pt;mso-position-horizontal-relative:char;mso-position-vertical-relative:line" id="docshapegroup13" coordorigin="0,0" coordsize="10744,548">
                <v:shape style="position:absolute;left:0;top:0;width:10744;height:548" type="#_x0000_t75" id="docshape14" stroked="false">
                  <v:imagedata r:id="rId12" o:title=""/>
                </v:shape>
                <v:shape style="position:absolute;left:0;top:0;width:10744;height:548" type="#_x0000_t202" id="docshape15" filled="false" stroked="false">
                  <v:textbox inset="0,0,0,0">
                    <w:txbxContent>
                      <w:p>
                        <w:pPr>
                          <w:spacing w:before="169"/>
                          <w:ind w:left="115" w:right="110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RESOLUÇÃO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4564/2023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rPr>
          <w:sz w:val="24"/>
        </w:rPr>
      </w:pPr>
    </w:p>
    <w:p>
      <w:pPr>
        <w:pStyle w:val="BodyText"/>
        <w:spacing w:before="58"/>
        <w:rPr>
          <w:sz w:val="24"/>
        </w:rPr>
      </w:pPr>
    </w:p>
    <w:p>
      <w:pPr>
        <w:pStyle w:val="Heading1"/>
        <w:spacing w:line="360" w:lineRule="auto"/>
        <w:ind w:right="167"/>
      </w:pPr>
      <w:r>
        <w:rPr/>
        <w:t>CONSULTA.</w:t>
      </w:r>
      <w:r>
        <w:rPr>
          <w:spacing w:val="-6"/>
        </w:rPr>
        <w:t> </w:t>
      </w:r>
      <w:r>
        <w:rPr/>
        <w:t>CONCESSÃO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AUXÍLIO-ALIMENTAÇÃO.</w:t>
      </w:r>
      <w:r>
        <w:rPr>
          <w:spacing w:val="-6"/>
        </w:rPr>
        <w:t> </w:t>
      </w:r>
      <w:r>
        <w:rPr/>
        <w:t>VEREADORES.</w:t>
      </w:r>
      <w:r>
        <w:rPr>
          <w:spacing w:val="-8"/>
        </w:rPr>
        <w:t> </w:t>
      </w:r>
      <w:r>
        <w:rPr/>
        <w:t>AUTORIZAÇÃO.</w:t>
      </w:r>
      <w:r>
        <w:rPr>
          <w:spacing w:val="-6"/>
        </w:rPr>
        <w:t> </w:t>
      </w:r>
      <w:r>
        <w:rPr/>
        <w:t>LDO. PRINCÍPIO DA MORALIDADE. RAZOABILIDADE. PROPORCIONALIDADE.</w:t>
      </w:r>
    </w:p>
    <w:p>
      <w:pPr>
        <w:pStyle w:val="BodyText"/>
        <w:spacing w:before="137"/>
        <w:rPr>
          <w:rFonts w:ascii="Arial"/>
          <w:b/>
          <w:sz w:val="24"/>
        </w:rPr>
      </w:pPr>
    </w:p>
    <w:p>
      <w:pPr>
        <w:pStyle w:val="BodyText"/>
        <w:spacing w:line="360" w:lineRule="auto"/>
        <w:ind w:left="16" w:right="165"/>
        <w:jc w:val="both"/>
      </w:pPr>
      <w:r>
        <w:rPr/>
        <w:t>Consulta acerca da possibilidade ou não de o Poder Legislativo municipal, caso disponha de dotação orçamentária, conceder aos vereadores auxílio-alimentação, a título de indenização e, caso se verifique essa possibilidade, indaga-se</w:t>
      </w:r>
      <w:r>
        <w:rPr>
          <w:spacing w:val="40"/>
        </w:rPr>
        <w:t> </w:t>
      </w:r>
      <w:r>
        <w:rPr/>
        <w:t>a</w:t>
      </w:r>
      <w:r>
        <w:rPr>
          <w:spacing w:val="-2"/>
        </w:rPr>
        <w:t> </w:t>
      </w:r>
      <w:r>
        <w:rPr/>
        <w:t>respeito do</w:t>
      </w:r>
      <w:r>
        <w:rPr>
          <w:spacing w:val="-2"/>
        </w:rPr>
        <w:t> </w:t>
      </w:r>
      <w:r>
        <w:rPr/>
        <w:t>instrumento legal</w:t>
      </w:r>
      <w:r>
        <w:rPr>
          <w:spacing w:val="-1"/>
        </w:rPr>
        <w:t> </w:t>
      </w:r>
      <w:r>
        <w:rPr/>
        <w:t>passível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instituir</w:t>
      </w:r>
      <w:r>
        <w:rPr>
          <w:spacing w:val="-1"/>
        </w:rPr>
        <w:t> </w:t>
      </w:r>
      <w:r>
        <w:rPr/>
        <w:t>tal</w:t>
      </w:r>
      <w:r>
        <w:rPr>
          <w:spacing w:val="-1"/>
        </w:rPr>
        <w:t> </w:t>
      </w:r>
      <w:r>
        <w:rPr/>
        <w:t>auxílio.</w:t>
      </w:r>
      <w:r>
        <w:rPr>
          <w:spacing w:val="-2"/>
        </w:rPr>
        <w:t> </w:t>
      </w:r>
      <w:r>
        <w:rPr/>
        <w:t>O Pleno Virtual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Contas do Estado doCeará, por unanimidade dos votos, conheceu a presente consulta, por preencher os requisitos de admissibilidade previstos em lei e, no mérito, respondeu-lhe que o Poder Legislativo municipal pode conceder auxílio-alimentação aos seus vereadores, desde de respeitadas as seguintes regras – o benefício seja instituído por lei; exista dotação no orçamento na Câmara Municipal, com autorização na Lei de Diretrizes Orçamentárias (LDO), bem como que sejam obedecidas as exigências contidas na Lei de Responsabilidade Fiscal; e que o valor fixado para ressarcir as despesas com a alimentação seja proporcional ao tempo despendido pelo vereador na efetiva atuação legiferante e fiscalizatória, assim como que respeite os princípios constitucionais da moralidade, razoabilidade e proporcionalidade.</w:t>
      </w:r>
    </w:p>
    <w:p>
      <w:pPr>
        <w:pStyle w:val="BodyText"/>
        <w:spacing w:before="115"/>
      </w:pPr>
    </w:p>
    <w:p>
      <w:pPr>
        <w:spacing w:before="0"/>
        <w:ind w:left="16" w:right="0" w:firstLine="0"/>
        <w:jc w:val="both"/>
        <w:rPr>
          <w:sz w:val="18"/>
        </w:rPr>
      </w:pPr>
      <w:r>
        <w:rPr>
          <w:sz w:val="18"/>
        </w:rPr>
        <w:t>Processo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3"/>
          <w:sz w:val="18"/>
        </w:rPr>
        <w:t> </w:t>
      </w:r>
      <w:r>
        <w:rPr>
          <w:sz w:val="18"/>
        </w:rPr>
        <w:t>15604/2023-0</w:t>
      </w:r>
      <w:r>
        <w:rPr>
          <w:spacing w:val="45"/>
          <w:sz w:val="18"/>
        </w:rPr>
        <w:t>  </w:t>
      </w:r>
      <w:r>
        <w:rPr>
          <w:sz w:val="18"/>
        </w:rPr>
        <w:t>Relator:</w:t>
      </w:r>
      <w:r>
        <w:rPr>
          <w:spacing w:val="-3"/>
          <w:sz w:val="18"/>
        </w:rPr>
        <w:t> </w:t>
      </w:r>
      <w:r>
        <w:rPr>
          <w:sz w:val="18"/>
        </w:rPr>
        <w:t>Conselheiro</w:t>
      </w:r>
      <w:r>
        <w:rPr>
          <w:spacing w:val="-2"/>
          <w:sz w:val="18"/>
        </w:rPr>
        <w:t> </w:t>
      </w:r>
      <w:r>
        <w:rPr>
          <w:sz w:val="18"/>
        </w:rPr>
        <w:t>Substituto</w:t>
      </w:r>
      <w:r>
        <w:rPr>
          <w:spacing w:val="-3"/>
          <w:sz w:val="18"/>
        </w:rPr>
        <w:t> </w:t>
      </w:r>
      <w:r>
        <w:rPr>
          <w:sz w:val="18"/>
        </w:rPr>
        <w:t>David</w:t>
      </w:r>
      <w:r>
        <w:rPr>
          <w:spacing w:val="-3"/>
          <w:sz w:val="18"/>
        </w:rPr>
        <w:t> </w:t>
      </w:r>
      <w:r>
        <w:rPr>
          <w:sz w:val="18"/>
        </w:rPr>
        <w:t>Matos</w:t>
      </w:r>
      <w:r>
        <w:rPr>
          <w:spacing w:val="67"/>
          <w:w w:val="150"/>
          <w:sz w:val="18"/>
        </w:rPr>
        <w:t> </w:t>
      </w:r>
      <w:r>
        <w:rPr>
          <w:sz w:val="18"/>
        </w:rPr>
        <w:t>Sessão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10/07/2023.</w:t>
      </w:r>
      <w:r>
        <w:rPr>
          <w:spacing w:val="67"/>
          <w:w w:val="150"/>
          <w:sz w:val="18"/>
        </w:rPr>
        <w:t> </w:t>
      </w:r>
      <w:r>
        <w:rPr>
          <w:sz w:val="18"/>
        </w:rPr>
        <w:t>Ata</w:t>
      </w:r>
      <w:r>
        <w:rPr>
          <w:spacing w:val="-3"/>
          <w:sz w:val="18"/>
        </w:rPr>
        <w:t> </w:t>
      </w:r>
      <w:r>
        <w:rPr>
          <w:sz w:val="18"/>
        </w:rPr>
        <w:t>n.°</w:t>
      </w:r>
      <w:r>
        <w:rPr>
          <w:spacing w:val="-4"/>
          <w:sz w:val="18"/>
        </w:rPr>
        <w:t> </w:t>
      </w:r>
      <w:r>
        <w:rPr>
          <w:sz w:val="18"/>
        </w:rPr>
        <w:t>167.</w:t>
      </w:r>
      <w:r>
        <w:rPr>
          <w:spacing w:val="68"/>
          <w:w w:val="150"/>
          <w:sz w:val="18"/>
        </w:rPr>
        <w:t>  </w:t>
      </w:r>
      <w:r>
        <w:rPr>
          <w:sz w:val="18"/>
        </w:rPr>
        <w:t>DO</w:t>
      </w:r>
      <w:r>
        <w:rPr>
          <w:spacing w:val="-2"/>
          <w:sz w:val="18"/>
        </w:rPr>
        <w:t> 10/07/2023.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367029</wp:posOffset>
                </wp:positionH>
                <wp:positionV relativeFrom="paragraph">
                  <wp:posOffset>302583</wp:posOffset>
                </wp:positionV>
                <wp:extent cx="6822440" cy="34925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822440" cy="349250"/>
                          <a:chExt cx="6822440" cy="34925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2439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822440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9"/>
                                <w:ind w:left="116" w:right="11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ACÓRDÃO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1942/2023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pt;margin-top:23.825489pt;width:537.2pt;height:27.5pt;mso-position-horizontal-relative:page;mso-position-vertical-relative:paragraph;z-index:-15725568;mso-wrap-distance-left:0;mso-wrap-distance-right:0" id="docshapegroup16" coordorigin="578,477" coordsize="10744,550">
                <v:shape style="position:absolute;left:578;top:476;width:10744;height:550" type="#_x0000_t75" id="docshape17" stroked="false">
                  <v:imagedata r:id="rId12" o:title=""/>
                </v:shape>
                <v:shape style="position:absolute;left:578;top:476;width:10744;height:550" type="#_x0000_t202" id="docshape18" filled="false" stroked="false">
                  <v:textbox inset="0,0,0,0">
                    <w:txbxContent>
                      <w:p>
                        <w:pPr>
                          <w:spacing w:before="169"/>
                          <w:ind w:left="116" w:right="110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ACÓRDÃO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Nº.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1942/2023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52"/>
        <w:rPr>
          <w:sz w:val="24"/>
        </w:rPr>
      </w:pPr>
    </w:p>
    <w:p>
      <w:pPr>
        <w:pStyle w:val="Heading1"/>
        <w:spacing w:line="360" w:lineRule="auto"/>
      </w:pPr>
      <w:r>
        <w:rPr/>
        <w:t>EMBARGOS DE DECLARAÇÃO. PRESTAÇÃO DE CONTAS DE GOVERNO. ALEGAÇÃO DE CERCEAMENTO AO DIREITO DA AMPLA DEFESA E DO CONTRADITÓRIO E DE OMISSÃO E CONTRADIÇÃO NA DECISÃO RECORRIDA. AUSÊNCIA DOS VÍCIOS ALEGADOS. REDISCUSSÃO DE MÉRITO. DESPROVIMENTO.</w:t>
      </w:r>
    </w:p>
    <w:p>
      <w:pPr>
        <w:pStyle w:val="BodyText"/>
        <w:spacing w:before="139"/>
        <w:rPr>
          <w:rFonts w:ascii="Arial"/>
          <w:b/>
          <w:sz w:val="24"/>
        </w:rPr>
      </w:pPr>
    </w:p>
    <w:p>
      <w:pPr>
        <w:pStyle w:val="BodyText"/>
        <w:spacing w:line="360" w:lineRule="auto"/>
        <w:ind w:left="16" w:right="168"/>
        <w:jc w:val="both"/>
      </w:pPr>
      <w:r>
        <w:rPr/>
        <w:t>Versam</w:t>
      </w:r>
      <w:r>
        <w:rPr>
          <w:spacing w:val="-4"/>
        </w:rPr>
        <w:t> </w:t>
      </w:r>
      <w:r>
        <w:rPr/>
        <w:t>os</w:t>
      </w:r>
      <w:r>
        <w:rPr>
          <w:spacing w:val="-5"/>
        </w:rPr>
        <w:t> </w:t>
      </w:r>
      <w:r>
        <w:rPr/>
        <w:t>autos</w:t>
      </w:r>
      <w:r>
        <w:rPr>
          <w:spacing w:val="-3"/>
        </w:rPr>
        <w:t> </w:t>
      </w:r>
      <w:r>
        <w:rPr/>
        <w:t>sobre</w:t>
      </w:r>
      <w:r>
        <w:rPr>
          <w:spacing w:val="-4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Declaração,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autos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Prestação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Contas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Quiterianópolis,</w:t>
      </w:r>
      <w:r>
        <w:rPr>
          <w:spacing w:val="-3"/>
        </w:rPr>
        <w:t> </w:t>
      </w:r>
      <w:r>
        <w:rPr/>
        <w:t>de responsabilidade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ex-Prefeito,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foram desaprovadas. Conhece o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recurso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declaração, em razão do atendimento aos requisitos gerais para conhecimento, vez que interposto tempestivamente, por legítimo interessado e de forma adequada, quando foi alegado pelo Responsável, a ocorrência de omissão e contradição no Parecer Prévio atacado. O Embargante suscitou inicialmente questão de ordem pública, referente ao cerceamento ao direito da ampla defesa e do contraditório, nos termos do art. 5º, LV da Constituição Federal c/c com o art. 485 do CPC. Contudo, observou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tal</w:t>
      </w:r>
      <w:r>
        <w:rPr>
          <w:spacing w:val="-2"/>
        </w:rPr>
        <w:t> </w:t>
      </w:r>
      <w:r>
        <w:rPr/>
        <w:t>questionamento não</w:t>
      </w:r>
      <w:r>
        <w:rPr>
          <w:spacing w:val="-1"/>
        </w:rPr>
        <w:t> </w:t>
      </w:r>
      <w:r>
        <w:rPr/>
        <w:t>procede,</w:t>
      </w:r>
      <w:r>
        <w:rPr>
          <w:spacing w:val="-1"/>
        </w:rPr>
        <w:t> </w:t>
      </w:r>
      <w:r>
        <w:rPr/>
        <w:t>uma vez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situação</w:t>
      </w:r>
      <w:r>
        <w:rPr>
          <w:spacing w:val="-1"/>
        </w:rPr>
        <w:t> </w:t>
      </w:r>
      <w:r>
        <w:rPr/>
        <w:t>em análise,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justificativas ofertadas pelo Recorrente foram</w:t>
      </w:r>
      <w:r>
        <w:rPr>
          <w:spacing w:val="-1"/>
        </w:rPr>
        <w:t> </w:t>
      </w:r>
      <w:r>
        <w:rPr/>
        <w:t>detidamente analisadas, além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mais, conforme se infere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Certificado nº 405/2021. Verifica-se que a contradição alegada pelo Embargante também não deve ser acolhida, tendo em vista que ainda que fosse possível rediscutir o mérito na presente ocasião, destaca-se que o vício da contradição é “verificado sempre que existirem proposições inconciliáveis entre si, de forma que a afirmação de uma logicamente significará a negação da</w:t>
      </w:r>
    </w:p>
    <w:p>
      <w:pPr>
        <w:pStyle w:val="BodyText"/>
        <w:spacing w:after="0" w:line="360" w:lineRule="auto"/>
        <w:jc w:val="both"/>
        <w:sectPr>
          <w:pgSz w:w="11910" w:h="16840"/>
          <w:pgMar w:header="25" w:footer="716" w:top="860" w:bottom="900" w:left="566" w:right="42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0"/>
      </w:pPr>
    </w:p>
    <w:p>
      <w:pPr>
        <w:pStyle w:val="BodyText"/>
        <w:spacing w:line="360" w:lineRule="auto"/>
        <w:ind w:left="16" w:right="162"/>
        <w:jc w:val="both"/>
      </w:pPr>
      <w:r>
        <w:rPr/>
        <w:t>outra”, ou seja, o referido defeito pertine a proposições inconsistentes na própria decisão atacada, não sendo possível suscitar contradição entre julgados, sejam eles de um mesmo tribunal ou de outras cortes de apelação, por exemplo. O Pleno Virtual do Tribunal de Contas do Estado do Ceará, por unanimidade dos votos, conheceu/admitiu a presente Interposição de Recurso - Embargos de Declaração, e, no mérito, negou-lhe provimento e, por maioria dos votos, reformando, de ofício, a decisão emitida no Parecer Prévio nº 0089/2022, considerando as contas regulares com </w:t>
      </w:r>
      <w:r>
        <w:rPr>
          <w:spacing w:val="-2"/>
        </w:rPr>
        <w:t>ressalva.</w:t>
      </w:r>
    </w:p>
    <w:p>
      <w:pPr>
        <w:pStyle w:val="BodyText"/>
        <w:spacing w:before="79"/>
      </w:pPr>
    </w:p>
    <w:p>
      <w:pPr>
        <w:tabs>
          <w:tab w:pos="2923" w:val="left" w:leader="none"/>
          <w:tab w:pos="5655" w:val="left" w:leader="none"/>
          <w:tab w:pos="6697" w:val="left" w:leader="none"/>
          <w:tab w:pos="8948" w:val="left" w:leader="none"/>
        </w:tabs>
        <w:spacing w:before="0"/>
        <w:ind w:left="389" w:right="0" w:firstLine="0"/>
        <w:jc w:val="left"/>
        <w:rPr>
          <w:sz w:val="18"/>
        </w:rPr>
      </w:pPr>
      <w:r>
        <w:rPr>
          <w:sz w:val="18"/>
        </w:rPr>
        <w:t>Processo</w:t>
      </w:r>
      <w:r>
        <w:rPr>
          <w:spacing w:val="-5"/>
          <w:sz w:val="18"/>
        </w:rPr>
        <w:t> </w:t>
      </w:r>
      <w:r>
        <w:rPr>
          <w:sz w:val="18"/>
        </w:rPr>
        <w:t>n.°</w:t>
      </w:r>
      <w:r>
        <w:rPr>
          <w:spacing w:val="-5"/>
          <w:sz w:val="18"/>
        </w:rPr>
        <w:t> </w:t>
      </w:r>
      <w:r>
        <w:rPr>
          <w:sz w:val="18"/>
        </w:rPr>
        <w:t>09219/2022-</w:t>
      </w:r>
      <w:r>
        <w:rPr>
          <w:spacing w:val="-10"/>
          <w:sz w:val="18"/>
        </w:rPr>
        <w:t>3</w:t>
      </w:r>
      <w:r>
        <w:rPr>
          <w:sz w:val="18"/>
        </w:rPr>
        <w:tab/>
        <w:t>Relator:</w:t>
      </w:r>
      <w:r>
        <w:rPr>
          <w:spacing w:val="-9"/>
          <w:sz w:val="18"/>
        </w:rPr>
        <w:t> </w:t>
      </w:r>
      <w:r>
        <w:rPr>
          <w:sz w:val="18"/>
        </w:rPr>
        <w:t>Cons.</w:t>
      </w:r>
      <w:r>
        <w:rPr>
          <w:spacing w:val="-7"/>
          <w:sz w:val="18"/>
        </w:rPr>
        <w:t> </w:t>
      </w:r>
      <w:r>
        <w:rPr>
          <w:sz w:val="18"/>
        </w:rPr>
        <w:t>Ernesto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Saboia</w:t>
      </w:r>
      <w:r>
        <w:rPr>
          <w:sz w:val="18"/>
        </w:rPr>
        <w:tab/>
        <w:t>Ata</w:t>
      </w:r>
      <w:r>
        <w:rPr>
          <w:spacing w:val="-5"/>
          <w:sz w:val="18"/>
        </w:rPr>
        <w:t> </w:t>
      </w:r>
      <w:r>
        <w:rPr>
          <w:sz w:val="18"/>
        </w:rPr>
        <w:t>n.°</w:t>
      </w:r>
      <w:r>
        <w:rPr>
          <w:spacing w:val="-3"/>
          <w:sz w:val="18"/>
        </w:rPr>
        <w:t> </w:t>
      </w:r>
      <w:r>
        <w:rPr>
          <w:spacing w:val="-10"/>
          <w:sz w:val="18"/>
        </w:rPr>
        <w:t>8</w:t>
      </w:r>
      <w:r>
        <w:rPr>
          <w:sz w:val="18"/>
        </w:rPr>
        <w:tab/>
        <w:t>Sessão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11/07/2023</w:t>
      </w:r>
      <w:r>
        <w:rPr>
          <w:sz w:val="18"/>
        </w:rPr>
        <w:tab/>
        <w:t>DO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28/07/2023.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367029</wp:posOffset>
                </wp:positionH>
                <wp:positionV relativeFrom="paragraph">
                  <wp:posOffset>191967</wp:posOffset>
                </wp:positionV>
                <wp:extent cx="6822440" cy="34417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822440" cy="344170"/>
                          <a:chExt cx="6822440" cy="344170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2439" cy="344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82244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1"/>
                                <w:ind w:left="114" w:right="11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ACÓRDÃO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2331/2023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pt;margin-top:15.115527pt;width:537.2pt;height:27.1pt;mso-position-horizontal-relative:page;mso-position-vertical-relative:paragraph;z-index:-15725056;mso-wrap-distance-left:0;mso-wrap-distance-right:0" id="docshapegroup19" coordorigin="578,302" coordsize="10744,542">
                <v:shape style="position:absolute;left:578;top:302;width:10744;height:542" type="#_x0000_t75" id="docshape20" stroked="false">
                  <v:imagedata r:id="rId12" o:title=""/>
                </v:shape>
                <v:shape style="position:absolute;left:578;top:302;width:10744;height:542" type="#_x0000_t202" id="docshape21" filled="false" stroked="false">
                  <v:textbox inset="0,0,0,0">
                    <w:txbxContent>
                      <w:p>
                        <w:pPr>
                          <w:spacing w:before="191"/>
                          <w:ind w:left="114" w:right="110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ACÓRDÃO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2331/2023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line="360" w:lineRule="auto" w:before="249"/>
        <w:ind w:right="162"/>
      </w:pPr>
      <w:r>
        <w:rPr/>
        <w:t>PRESTAÇÃO DE CONTAS DE GESTÃO. FUNDEB. DESPESAS PAGAS. TRANSFERÊNCIA FINANCEIRA. AUSÊNCIA DE REGISTRO. RECEITA EXTRAORÇAMENTÁRIA. MULTA.</w:t>
      </w:r>
      <w:r>
        <w:rPr>
          <w:spacing w:val="40"/>
        </w:rPr>
        <w:t> </w:t>
      </w:r>
      <w:r>
        <w:rPr/>
        <w:t>CONTAS IRREGULARES.</w:t>
      </w:r>
    </w:p>
    <w:p>
      <w:pPr>
        <w:pStyle w:val="BodyText"/>
        <w:spacing w:before="87"/>
        <w:rPr>
          <w:rFonts w:ascii="Arial"/>
          <w:b/>
          <w:sz w:val="24"/>
        </w:rPr>
      </w:pPr>
    </w:p>
    <w:p>
      <w:pPr>
        <w:pStyle w:val="BodyText"/>
        <w:spacing w:line="360" w:lineRule="auto"/>
        <w:ind w:left="16" w:right="159"/>
        <w:jc w:val="both"/>
      </w:pPr>
      <w:r>
        <w:rPr/>
        <w:t>Prestação de Contas de Gestão da Secretaria de Educação do Município de Acopiara referente ao exercício financeiro de 2017. O processo de prestação de contas é o meio pelo qual o Tribunal de Contas do Estado do Ceará exerce juízo sobre a gestão dos responsáveis pela administração de recursos públicos Estaduais e Municipais. Tais processos têm como objetivo verificar a exatidão dos demonstrativos contábeis, a legalidade, a legitimidade e a economicidade dos</w:t>
      </w:r>
      <w:r>
        <w:rPr>
          <w:spacing w:val="40"/>
        </w:rPr>
        <w:t> </w:t>
      </w:r>
      <w:r>
        <w:rPr/>
        <w:t>atos de gestão daqueles que utilizam, arrecadam, guardam, gerenciam ou administram dinheiros, bens e valores públicos ou pelos quais o Estado e os Municípios respondam, ou quem em nome destes, assumam obrigações de natureza pecuniária, nos termos do parágrafo único do art. 70 da Constituição Federal. Constataram-se irregularidades na referida Prestação de Contas. Na análise da supracitada prestação observou-se a não realização devida dos</w:t>
      </w:r>
      <w:r>
        <w:rPr>
          <w:spacing w:val="40"/>
        </w:rPr>
        <w:t> </w:t>
      </w:r>
      <w:r>
        <w:rPr/>
        <w:t>registros de contas no Sistema de Informações Municipais - SIM, conforme disciplina o art. 42 da Constituição Estadual c/c art. 1º da Instrução Normativa nº 05/1997 e art. 3º, caput e §1º da Instrução Normativa nº 02/2016. (Item 4.1 do Relatório de Instrução Inicial nº 0042/2022). A ausência de registro no SIM dos procedimentos administrativos que amparam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notas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empenho</w:t>
      </w:r>
      <w:r>
        <w:rPr>
          <w:spacing w:val="-2"/>
        </w:rPr>
        <w:t> </w:t>
      </w:r>
      <w:r>
        <w:rPr/>
        <w:t>afronta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disposto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Manual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referido</w:t>
      </w:r>
      <w:r>
        <w:rPr>
          <w:spacing w:val="-2"/>
        </w:rPr>
        <w:t> </w:t>
      </w:r>
      <w:r>
        <w:rPr/>
        <w:t>sistema,</w:t>
      </w:r>
      <w:r>
        <w:rPr>
          <w:spacing w:val="-2"/>
        </w:rPr>
        <w:t> </w:t>
      </w:r>
      <w:r>
        <w:rPr/>
        <w:t>à</w:t>
      </w:r>
      <w:r>
        <w:rPr>
          <w:spacing w:val="-3"/>
        </w:rPr>
        <w:t> </w:t>
      </w:r>
      <w:r>
        <w:rPr/>
        <w:t>época</w:t>
      </w:r>
      <w:r>
        <w:rPr>
          <w:spacing w:val="-2"/>
        </w:rPr>
        <w:t> </w:t>
      </w:r>
      <w:r>
        <w:rPr/>
        <w:t>regulamentado</w:t>
      </w:r>
      <w:r>
        <w:rPr>
          <w:spacing w:val="-2"/>
        </w:rPr>
        <w:t> </w:t>
      </w:r>
      <w:r>
        <w:rPr/>
        <w:t>pela</w:t>
      </w:r>
      <w:r>
        <w:rPr>
          <w:spacing w:val="-3"/>
        </w:rPr>
        <w:t> </w:t>
      </w:r>
      <w:r>
        <w:rPr/>
        <w:t>Instrução Normativa nº 02/2016 deste Tribunal de Contas do Estado do</w:t>
      </w:r>
      <w:r>
        <w:rPr>
          <w:spacing w:val="-1"/>
        </w:rPr>
        <w:t> </w:t>
      </w:r>
      <w:r>
        <w:rPr/>
        <w:t>Ceará. Ademais, apontou-se</w:t>
      </w:r>
      <w:r>
        <w:rPr>
          <w:spacing w:val="40"/>
        </w:rPr>
        <w:t> </w:t>
      </w:r>
      <w:r>
        <w:rPr/>
        <w:t>que as receitas do FUNDEB (Transferências do FUNDEB - rubrica 17.24.01.00 e Complementação do FUNDEB - rubrica 17.24.02.00) não estão registradas no</w:t>
      </w:r>
      <w:r>
        <w:rPr>
          <w:spacing w:val="-2"/>
        </w:rPr>
        <w:t> </w:t>
      </w:r>
      <w:r>
        <w:rPr/>
        <w:t>Balanço Financeiro,</w:t>
      </w:r>
      <w:r>
        <w:rPr>
          <w:spacing w:val="-2"/>
        </w:rPr>
        <w:t> </w:t>
      </w:r>
      <w:r>
        <w:rPr/>
        <w:t>fato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prejudicou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análise</w:t>
      </w:r>
      <w:r>
        <w:rPr>
          <w:spacing w:val="-2"/>
        </w:rPr>
        <w:t> </w:t>
      </w:r>
      <w:r>
        <w:rPr/>
        <w:t>comparativa da</w:t>
      </w:r>
      <w:r>
        <w:rPr>
          <w:spacing w:val="-2"/>
        </w:rPr>
        <w:t> </w:t>
      </w:r>
      <w:r>
        <w:rPr/>
        <w:t>receita</w:t>
      </w:r>
      <w:r>
        <w:rPr>
          <w:spacing w:val="-2"/>
        </w:rPr>
        <w:t> </w:t>
      </w:r>
      <w:r>
        <w:rPr/>
        <w:t>registrada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SIM,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Secretaria do Tesouro Nacional e no Balanço Financeiro. Entende-se que cada Secretaria, atendendo os princípios da transparência, legalidade, competência e registro do valor original deve contabilizar todos os valores arrecadados, transferidos como também a evidenciação das despesas pagas e/ou transferências financeiras nos dados do Balanço Financeiro, caso não fosse assim, teríamos apenas a necessidade de evidenciação por parte da Secretaria de Finanças e a próprio Conta de Governo Municipal. A Primeira Câmara Virtual, por unanimidade dos votos, julgou a presente Prestação de Contas irregular, com aplicação de multa.</w:t>
      </w:r>
    </w:p>
    <w:p>
      <w:pPr>
        <w:pStyle w:val="BodyText"/>
        <w:spacing w:before="116"/>
      </w:pPr>
    </w:p>
    <w:p>
      <w:pPr>
        <w:spacing w:before="1"/>
        <w:ind w:left="16" w:right="0" w:firstLine="0"/>
        <w:jc w:val="both"/>
        <w:rPr>
          <w:sz w:val="18"/>
        </w:rPr>
      </w:pPr>
      <w:r>
        <w:rPr>
          <w:sz w:val="18"/>
        </w:rPr>
        <w:t>Processo</w:t>
      </w:r>
      <w:r>
        <w:rPr>
          <w:spacing w:val="-3"/>
          <w:sz w:val="18"/>
        </w:rPr>
        <w:t> </w:t>
      </w:r>
      <w:r>
        <w:rPr>
          <w:sz w:val="18"/>
        </w:rPr>
        <w:t>nº:</w:t>
      </w:r>
      <w:r>
        <w:rPr>
          <w:spacing w:val="-2"/>
          <w:sz w:val="18"/>
        </w:rPr>
        <w:t> </w:t>
      </w:r>
      <w:r>
        <w:rPr>
          <w:sz w:val="18"/>
        </w:rPr>
        <w:t>40138/2018-5</w:t>
      </w:r>
      <w:r>
        <w:rPr>
          <w:spacing w:val="71"/>
          <w:w w:val="150"/>
          <w:sz w:val="18"/>
        </w:rPr>
        <w:t>  </w:t>
      </w:r>
      <w:r>
        <w:rPr>
          <w:sz w:val="18"/>
        </w:rPr>
        <w:t>Relator</w:t>
      </w:r>
      <w:r>
        <w:rPr>
          <w:spacing w:val="-1"/>
          <w:sz w:val="18"/>
        </w:rPr>
        <w:t> </w:t>
      </w:r>
      <w:r>
        <w:rPr>
          <w:sz w:val="18"/>
        </w:rPr>
        <w:t>(a):</w:t>
      </w:r>
      <w:r>
        <w:rPr>
          <w:spacing w:val="-2"/>
          <w:sz w:val="18"/>
        </w:rPr>
        <w:t> </w:t>
      </w:r>
      <w:r>
        <w:rPr>
          <w:sz w:val="18"/>
        </w:rPr>
        <w:t>Paulo</w:t>
      </w:r>
      <w:r>
        <w:rPr>
          <w:spacing w:val="-2"/>
          <w:sz w:val="18"/>
        </w:rPr>
        <w:t> </w:t>
      </w:r>
      <w:r>
        <w:rPr>
          <w:sz w:val="18"/>
        </w:rPr>
        <w:t>César de</w:t>
      </w:r>
      <w:r>
        <w:rPr>
          <w:spacing w:val="-2"/>
          <w:sz w:val="18"/>
        </w:rPr>
        <w:t> </w:t>
      </w:r>
      <w:r>
        <w:rPr>
          <w:sz w:val="18"/>
        </w:rPr>
        <w:t>Souza</w:t>
      </w:r>
      <w:r>
        <w:rPr>
          <w:spacing w:val="79"/>
          <w:sz w:val="18"/>
        </w:rPr>
        <w:t>   </w:t>
      </w:r>
      <w:r>
        <w:rPr>
          <w:sz w:val="18"/>
        </w:rPr>
        <w:t>Ata n.°</w:t>
      </w:r>
      <w:r>
        <w:rPr>
          <w:spacing w:val="-2"/>
          <w:sz w:val="18"/>
        </w:rPr>
        <w:t> </w:t>
      </w:r>
      <w:r>
        <w:rPr>
          <w:sz w:val="18"/>
        </w:rPr>
        <w:t>165</w:t>
      </w:r>
      <w:r>
        <w:rPr>
          <w:spacing w:val="63"/>
          <w:sz w:val="18"/>
        </w:rPr>
        <w:t>   </w:t>
      </w:r>
      <w:r>
        <w:rPr>
          <w:sz w:val="18"/>
        </w:rPr>
        <w:t>Sessão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03/07/2023</w:t>
      </w:r>
      <w:r>
        <w:rPr>
          <w:spacing w:val="71"/>
          <w:w w:val="150"/>
          <w:sz w:val="18"/>
        </w:rPr>
        <w:t>  </w:t>
      </w:r>
      <w:r>
        <w:rPr>
          <w:sz w:val="18"/>
        </w:rPr>
        <w:t>DO</w:t>
      </w:r>
      <w:r>
        <w:rPr>
          <w:spacing w:val="-2"/>
          <w:sz w:val="18"/>
        </w:rPr>
        <w:t> 28/07/2023.</w:t>
      </w:r>
    </w:p>
    <w:p>
      <w:pPr>
        <w:spacing w:after="0"/>
        <w:jc w:val="both"/>
        <w:rPr>
          <w:sz w:val="18"/>
        </w:rPr>
        <w:sectPr>
          <w:pgSz w:w="11910" w:h="16840"/>
          <w:pgMar w:header="25" w:footer="716" w:top="860" w:bottom="900" w:left="566" w:right="425"/>
        </w:sectPr>
      </w:pPr>
    </w:p>
    <w:p>
      <w:pPr>
        <w:pStyle w:val="BodyText"/>
        <w:spacing w:before="4"/>
        <w:rPr>
          <w:sz w:val="17"/>
        </w:rPr>
      </w:pPr>
    </w:p>
    <w:sectPr>
      <w:headerReference w:type="default" r:id="rId13"/>
      <w:footerReference w:type="default" r:id="rId14"/>
      <w:pgSz w:w="11910" w:h="16840"/>
      <w:pgMar w:header="0" w:footer="0" w:top="192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2848">
          <wp:simplePos x="0" y="0"/>
          <wp:positionH relativeFrom="page">
            <wp:posOffset>3810</wp:posOffset>
          </wp:positionH>
          <wp:positionV relativeFrom="page">
            <wp:posOffset>10145539</wp:posOffset>
          </wp:positionV>
          <wp:extent cx="7553959" cy="5461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3959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3872">
          <wp:simplePos x="0" y="0"/>
          <wp:positionH relativeFrom="page">
            <wp:posOffset>1270</wp:posOffset>
          </wp:positionH>
          <wp:positionV relativeFrom="page">
            <wp:posOffset>10109979</wp:posOffset>
          </wp:positionV>
          <wp:extent cx="7553959" cy="546100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3959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3360">
          <wp:simplePos x="0" y="0"/>
          <wp:positionH relativeFrom="page">
            <wp:posOffset>3810</wp:posOffset>
          </wp:positionH>
          <wp:positionV relativeFrom="page">
            <wp:posOffset>16019</wp:posOffset>
          </wp:positionV>
          <wp:extent cx="7553959" cy="546100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3959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6" w:right="161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eader" Target="header1.xml"/><Relationship Id="rId11" Type="http://schemas.openxmlformats.org/officeDocument/2006/relationships/footer" Target="footer2.xml"/><Relationship Id="rId12" Type="http://schemas.openxmlformats.org/officeDocument/2006/relationships/image" Target="media/image6.png"/><Relationship Id="rId13" Type="http://schemas.openxmlformats.org/officeDocument/2006/relationships/header" Target="header2.xml"/><Relationship Id="rId14" Type="http://schemas.openxmlformats.org/officeDocument/2006/relationships/footer" Target="footer3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2025-10-06T13:49:36Z</dcterms:created>
  <dcterms:modified xsi:type="dcterms:W3CDTF">2025-10-06T13:49:36Z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6.0</vt:lpwstr>
  </property>
  <property fmtid="{D5CDD505-2E9C-101B-9397-08002B2CF9AE}" pid="5" name="LastSaved">
    <vt:filetime>2023-09-25T00:00:00Z</vt:filetime>
  </property>
</Properties>
</file>