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1270</wp:posOffset>
                </wp:positionH>
                <wp:positionV relativeFrom="page">
                  <wp:posOffset>779</wp:posOffset>
                </wp:positionV>
                <wp:extent cx="7559040" cy="1610360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7559040" cy="1610360"/>
                          <a:chExt cx="7559040" cy="1610360"/>
                        </a:xfrm>
                      </wpg:grpSpPr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8729" cy="161035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4000500" y="1443387"/>
                            <a:ext cx="1709420" cy="1536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4"/>
                                <w:ind w:left="20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4E4E4E"/>
                                  <w:sz w:val="18"/>
                                </w:rPr>
                                <w:t>Fortaleza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4E4E4E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4E4E4E"/>
                                  <w:sz w:val="18"/>
                                </w:rPr>
                                <w:t>(CE),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4E4E4E"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4E4E4E"/>
                                  <w:sz w:val="18"/>
                                </w:rPr>
                                <w:t>Ano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4E4E4E"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4E4E4E"/>
                                  <w:sz w:val="18"/>
                                </w:rPr>
                                <w:t>2023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4E4E4E"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4E4E4E"/>
                                  <w:sz w:val="18"/>
                                </w:rPr>
                                <w:t>-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4E4E4E"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4E4E4E"/>
                                  <w:sz w:val="18"/>
                                </w:rPr>
                                <w:t>Nº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4E4E4E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4E4E4E"/>
                                  <w:spacing w:val="-10"/>
                                  <w:sz w:val="18"/>
                                </w:rPr>
                                <w:t>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.1pt;margin-top:.061389pt;width:595.2pt;height:126.8pt;mso-position-horizontal-relative:page;mso-position-vertical-relative:page;z-index:15729664" id="docshapegroup1" coordorigin="2,1" coordsize="11904,2536">
                <v:shape style="position:absolute;left:2;top:1;width:11904;height:2536" type="#_x0000_t75" id="docshape2" stroked="false">
                  <v:imagedata r:id="rId6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6302;top:2274;width:2692;height:242" type="#_x0000_t202" id="docshape3" filled="false" stroked="false">
                  <v:textbox inset="0,0,0,0">
                    <w:txbxContent>
                      <w:p>
                        <w:pPr>
                          <w:spacing w:before="14"/>
                          <w:ind w:left="20" w:right="0" w:firstLine="0"/>
                          <w:jc w:val="left"/>
                          <w:rPr>
                            <w:rFonts w:ascii="Arial" w:hAnsi="Arial"/>
                            <w:b/>
                            <w:i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i/>
                            <w:color w:val="4E4E4E"/>
                            <w:sz w:val="18"/>
                          </w:rPr>
                          <w:t>Fortaleza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4E4E4E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4E4E4E"/>
                            <w:sz w:val="18"/>
                          </w:rPr>
                          <w:t>(CE),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4E4E4E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4E4E4E"/>
                            <w:sz w:val="18"/>
                          </w:rPr>
                          <w:t>Ano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4E4E4E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4E4E4E"/>
                            <w:sz w:val="18"/>
                          </w:rPr>
                          <w:t>2023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4E4E4E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4E4E4E"/>
                            <w:sz w:val="18"/>
                          </w:rPr>
                          <w:t>-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4E4E4E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4E4E4E"/>
                            <w:sz w:val="18"/>
                          </w:rPr>
                          <w:t>Nº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4E4E4E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4E4E4E"/>
                            <w:spacing w:val="-10"/>
                            <w:sz w:val="18"/>
                          </w:rPr>
                          <w:t>9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216"/>
        <w:rPr>
          <w:rFonts w:ascii="Times New Roman"/>
        </w:rPr>
      </w:pPr>
    </w:p>
    <w:p>
      <w:pPr>
        <w:pStyle w:val="BodyText"/>
        <w:ind w:left="124"/>
        <w:rPr>
          <w:rFonts w:ascii="Times New Roman"/>
        </w:rPr>
      </w:pPr>
      <w:r>
        <w:rPr>
          <w:rFonts w:ascii="Times New Roman"/>
        </w:rPr>
        <mc:AlternateContent>
          <mc:Choice Requires="wps">
            <w:drawing>
              <wp:inline distT="0" distB="0" distL="0" distR="0">
                <wp:extent cx="6675120" cy="1742439"/>
                <wp:effectExtent l="0" t="0" r="0" b="635"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6675120" cy="1742439"/>
                          <a:chExt cx="6675120" cy="1742439"/>
                        </a:xfrm>
                      </wpg:grpSpPr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75119" cy="17424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Textbox 7"/>
                        <wps:cNvSpPr txBox="1"/>
                        <wps:spPr>
                          <a:xfrm>
                            <a:off x="0" y="0"/>
                            <a:ext cx="6675120" cy="17424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4" w:lineRule="auto" w:before="185"/>
                                <w:ind w:left="172" w:right="152" w:firstLine="0"/>
                                <w:jc w:val="both"/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00009"/>
                                  <w:sz w:val="24"/>
                                </w:rPr>
                                <w:t>Este Informativo contém informações de decisões proferidas pelos Colegiados do TCE, que receberam indicação de relevância sob o prisma jurisprudencial no período de agosto de 2023. As informações aqui apresentadas não constituem, todavia, o resumo oficial da decisão proferida pelo Tribunal nem representam, necessariamente, o posicionamento prevalente do TCE. O objetivo é facilitar ao interessado o acompanhamento dos acórdãos/resoluções mais importantes do Tribunal. Para aprofundamento, o leitor pode acessar o inteiro teor das deliberações clicando em cima do número do processo.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25.6pt;height:137.2pt;mso-position-horizontal-relative:char;mso-position-vertical-relative:line" id="docshapegroup4" coordorigin="0,0" coordsize="10512,2744">
                <v:shape style="position:absolute;left:0;top:0;width:10512;height:2744" type="#_x0000_t75" id="docshape5" stroked="false">
                  <v:imagedata r:id="rId7" o:title=""/>
                </v:shape>
                <v:shape style="position:absolute;left:0;top:0;width:10512;height:2744" type="#_x0000_t202" id="docshape6" filled="false" stroked="false">
                  <v:textbox inset="0,0,0,0">
                    <w:txbxContent>
                      <w:p>
                        <w:pPr>
                          <w:spacing w:line="264" w:lineRule="auto" w:before="185"/>
                          <w:ind w:left="172" w:right="152" w:firstLine="0"/>
                          <w:jc w:val="both"/>
                          <w:rPr>
                            <w:rFonts w:ascii="Arial" w:hAnsi="Arial"/>
                            <w:b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00009"/>
                            <w:sz w:val="24"/>
                          </w:rPr>
                          <w:t>Este Informativo contém informações de decisões proferidas pelos Colegiados do TCE, que receberam indicação de relevância sob o prisma jurisprudencial no período de agosto de 2023. As informações aqui apresentadas não constituem, todavia, o resumo oficial da decisão proferida pelo Tribunal nem representam, necessariamente, o posicionamento prevalente do TCE. O objetivo é facilitar ao interessado o acompanhamento dos acórdãos/resoluções mais importantes do Tribunal. Para aprofundamento, o leitor pode acessar o inteiro teor das deliberações clicando em cima do número do processo.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</w:rPr>
      </w:r>
    </w:p>
    <w:p>
      <w:pPr>
        <w:pStyle w:val="BodyText"/>
        <w:spacing w:before="158"/>
        <w:rPr>
          <w:rFonts w:ascii="Times New Roman"/>
        </w:rPr>
      </w:pP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497840</wp:posOffset>
                </wp:positionH>
                <wp:positionV relativeFrom="paragraph">
                  <wp:posOffset>261620</wp:posOffset>
                </wp:positionV>
                <wp:extent cx="6551295" cy="312420"/>
                <wp:effectExtent l="0" t="0" r="0" b="0"/>
                <wp:wrapTopAndBottom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6551295" cy="312420"/>
                          <a:chExt cx="6551295" cy="312420"/>
                        </a:xfrm>
                      </wpg:grpSpPr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1207" cy="3124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Textbox 10"/>
                        <wps:cNvSpPr txBox="1"/>
                        <wps:spPr>
                          <a:xfrm>
                            <a:off x="0" y="0"/>
                            <a:ext cx="6551295" cy="3124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01"/>
                                <w:ind w:left="19" w:right="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22"/>
                                </w:rPr>
                                <w:t>ACÓRDÃO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22"/>
                                </w:rPr>
                                <w:t>N.º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2"/>
                                  <w:sz w:val="22"/>
                                </w:rPr>
                                <w:t>2777/2022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9.200001pt;margin-top:20.6pt;width:515.85pt;height:24.6pt;mso-position-horizontal-relative:page;mso-position-vertical-relative:paragraph;z-index:-15728128;mso-wrap-distance-left:0;mso-wrap-distance-right:0" id="docshapegroup7" coordorigin="784,412" coordsize="10317,492">
                <v:shape style="position:absolute;left:784;top:412;width:10317;height:492" type="#_x0000_t75" id="docshape8" stroked="false">
                  <v:imagedata r:id="rId8" o:title=""/>
                </v:shape>
                <v:shape style="position:absolute;left:784;top:412;width:10317;height:492" type="#_x0000_t202" id="docshape9" filled="false" stroked="false">
                  <v:textbox inset="0,0,0,0">
                    <w:txbxContent>
                      <w:p>
                        <w:pPr>
                          <w:spacing w:before="101"/>
                          <w:ind w:left="19" w:right="0" w:firstLine="0"/>
                          <w:jc w:val="center"/>
                          <w:rPr>
                            <w:rFonts w:ascii="Arial" w:hAnsi="Arial"/>
                            <w:b/>
                            <w:sz w:val="22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FFFFFF"/>
                            <w:sz w:val="22"/>
                          </w:rPr>
                          <w:t>ACÓRDÃO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z w:val="22"/>
                          </w:rPr>
                          <w:t>N.º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2"/>
                            <w:sz w:val="22"/>
                          </w:rPr>
                          <w:t>2777/2022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26"/>
        <w:rPr>
          <w:rFonts w:ascii="Times New Roman"/>
          <w:sz w:val="24"/>
        </w:rPr>
      </w:pPr>
    </w:p>
    <w:p>
      <w:pPr>
        <w:pStyle w:val="Heading1"/>
        <w:spacing w:line="276" w:lineRule="auto"/>
        <w:ind w:right="166"/>
      </w:pPr>
      <w:r>
        <w:rPr/>
        <w:t>RECURSO DE RECONSIDERAÇÃO. PRESTAÇÃO DE CONTAS DE GESTÃO. FALECIMENTO DO GESTOR. EXTINÇÃO DA PUNIBILIDADE. REFORMA DA DECISÃO RECORRIDA. CONTAS REGULARES. EXCLUSÃO DA MULTA.</w:t>
      </w:r>
    </w:p>
    <w:p>
      <w:pPr>
        <w:pStyle w:val="BodyText"/>
        <w:spacing w:before="13"/>
        <w:rPr>
          <w:rFonts w:ascii="Arial"/>
          <w:b/>
          <w:sz w:val="24"/>
        </w:rPr>
      </w:pPr>
    </w:p>
    <w:p>
      <w:pPr>
        <w:pStyle w:val="BodyText"/>
        <w:spacing w:line="276" w:lineRule="auto"/>
        <w:ind w:left="16" w:right="169"/>
        <w:jc w:val="both"/>
      </w:pPr>
      <w:r>
        <w:rPr>
          <w:color w:val="000009"/>
        </w:rPr>
        <w:t>Recurso</w:t>
      </w:r>
      <w:r>
        <w:rPr>
          <w:color w:val="000009"/>
          <w:spacing w:val="-3"/>
        </w:rPr>
        <w:t> </w:t>
      </w:r>
      <w:r>
        <w:rPr>
          <w:color w:val="000009"/>
        </w:rPr>
        <w:t>de</w:t>
      </w:r>
      <w:r>
        <w:rPr>
          <w:color w:val="000009"/>
          <w:spacing w:val="-3"/>
        </w:rPr>
        <w:t> </w:t>
      </w:r>
      <w:r>
        <w:rPr>
          <w:color w:val="000009"/>
        </w:rPr>
        <w:t>Reconsideração</w:t>
      </w:r>
      <w:r>
        <w:rPr>
          <w:color w:val="000009"/>
          <w:spacing w:val="-3"/>
        </w:rPr>
        <w:t> </w:t>
      </w:r>
      <w:r>
        <w:rPr>
          <w:color w:val="000009"/>
        </w:rPr>
        <w:t>interposto</w:t>
      </w:r>
      <w:r>
        <w:rPr>
          <w:color w:val="000009"/>
          <w:spacing w:val="-3"/>
        </w:rPr>
        <w:t> </w:t>
      </w:r>
      <w:r>
        <w:rPr>
          <w:color w:val="000009"/>
        </w:rPr>
        <w:t>pela</w:t>
      </w:r>
      <w:r>
        <w:rPr>
          <w:color w:val="000009"/>
          <w:spacing w:val="-1"/>
        </w:rPr>
        <w:t> </w:t>
      </w:r>
      <w:r>
        <w:rPr>
          <w:color w:val="000009"/>
        </w:rPr>
        <w:t>ex-gestora</w:t>
      </w:r>
      <w:r>
        <w:rPr>
          <w:color w:val="000009"/>
          <w:spacing w:val="-3"/>
        </w:rPr>
        <w:t> </w:t>
      </w:r>
      <w:r>
        <w:rPr>
          <w:color w:val="000009"/>
        </w:rPr>
        <w:t>do</w:t>
      </w:r>
      <w:r>
        <w:rPr>
          <w:color w:val="000009"/>
          <w:spacing w:val="-2"/>
        </w:rPr>
        <w:t> </w:t>
      </w:r>
      <w:r>
        <w:rPr>
          <w:color w:val="000009"/>
        </w:rPr>
        <w:t>Fundo</w:t>
      </w:r>
      <w:r>
        <w:rPr>
          <w:color w:val="000009"/>
          <w:spacing w:val="-3"/>
        </w:rPr>
        <w:t> </w:t>
      </w:r>
      <w:r>
        <w:rPr>
          <w:color w:val="000009"/>
        </w:rPr>
        <w:t>Municipal</w:t>
      </w:r>
      <w:r>
        <w:rPr>
          <w:color w:val="000009"/>
          <w:spacing w:val="-2"/>
        </w:rPr>
        <w:t> </w:t>
      </w:r>
      <w:r>
        <w:rPr>
          <w:color w:val="000009"/>
        </w:rPr>
        <w:t>de</w:t>
      </w:r>
      <w:r>
        <w:rPr>
          <w:color w:val="000009"/>
          <w:spacing w:val="-3"/>
        </w:rPr>
        <w:t> </w:t>
      </w:r>
      <w:r>
        <w:rPr>
          <w:color w:val="000009"/>
        </w:rPr>
        <w:t>Saúde</w:t>
      </w:r>
      <w:r>
        <w:rPr>
          <w:color w:val="000009"/>
          <w:spacing w:val="-1"/>
        </w:rPr>
        <w:t> </w:t>
      </w:r>
      <w:r>
        <w:rPr>
          <w:color w:val="000009"/>
        </w:rPr>
        <w:t>(FMS),</w:t>
      </w:r>
      <w:r>
        <w:rPr>
          <w:color w:val="000009"/>
          <w:spacing w:val="-3"/>
        </w:rPr>
        <w:t> </w:t>
      </w:r>
      <w:r>
        <w:rPr>
          <w:color w:val="000009"/>
        </w:rPr>
        <w:t>exercício</w:t>
      </w:r>
      <w:r>
        <w:rPr>
          <w:color w:val="000009"/>
          <w:spacing w:val="-1"/>
        </w:rPr>
        <w:t> </w:t>
      </w:r>
      <w:r>
        <w:rPr>
          <w:color w:val="000009"/>
        </w:rPr>
        <w:t>de</w:t>
      </w:r>
      <w:r>
        <w:rPr>
          <w:color w:val="000009"/>
          <w:spacing w:val="-3"/>
        </w:rPr>
        <w:t> </w:t>
      </w:r>
      <w:r>
        <w:rPr>
          <w:color w:val="000009"/>
        </w:rPr>
        <w:t>2014,</w:t>
      </w:r>
      <w:r>
        <w:rPr>
          <w:color w:val="000009"/>
          <w:spacing w:val="-3"/>
        </w:rPr>
        <w:t> </w:t>
      </w:r>
      <w:r>
        <w:rPr>
          <w:color w:val="000009"/>
        </w:rPr>
        <w:t>em</w:t>
      </w:r>
      <w:r>
        <w:rPr>
          <w:color w:val="000009"/>
          <w:spacing w:val="-2"/>
        </w:rPr>
        <w:t> </w:t>
      </w:r>
      <w:r>
        <w:rPr>
          <w:color w:val="000009"/>
        </w:rPr>
        <w:t>face do Acórdão nº 1888/2019 e respectivos fundamentos, proferido pela Segunda Câmara do Tribunal de Contas do Estado do Ceará (TCE/CE) ao julgar a Prestação de Contas de Gestão (PCS) nº 18104/2018-0. Insurge-se a Recorrente em face do Acórdão e seus respectivos fundamentos, mediante o qual a Segunda Câmara do TCE/CE julgou irregulares as contas de gestão relativas à FMS de Itapiúna, exercício de 2014 (período 09/07 a 31/07), na forma do art. 13, inciso III, alíneas “b”, da Lei Estadual nº 12.160/1993 (LOTCM), com aplicação de multa, no valor total de R$ 7.408,58, com base no arts. 56 incisos I e IV, da LOTCM, devendo ser aplicado redutor de 50% do valor da multa aplicada, nos termos do</w:t>
      </w:r>
      <w:r>
        <w:rPr>
          <w:color w:val="000009"/>
          <w:spacing w:val="40"/>
        </w:rPr>
        <w:t> </w:t>
      </w:r>
      <w:r>
        <w:rPr>
          <w:color w:val="000009"/>
        </w:rPr>
        <w:t>art. 155, § 1°, do Regimento Interno do extinto TCM/CE. A princípio, as irregularidades apontadas nos fundamentos do Acórdão</w:t>
      </w:r>
      <w:r>
        <w:rPr>
          <w:color w:val="000009"/>
          <w:spacing w:val="-3"/>
        </w:rPr>
        <w:t> </w:t>
      </w:r>
      <w:r>
        <w:rPr>
          <w:color w:val="000009"/>
        </w:rPr>
        <w:t>nº</w:t>
      </w:r>
      <w:r>
        <w:rPr>
          <w:color w:val="000009"/>
          <w:spacing w:val="-3"/>
        </w:rPr>
        <w:t> </w:t>
      </w:r>
      <w:r>
        <w:rPr>
          <w:color w:val="000009"/>
        </w:rPr>
        <w:t>1888/2019</w:t>
      </w:r>
      <w:r>
        <w:rPr>
          <w:color w:val="000009"/>
          <w:spacing w:val="-3"/>
        </w:rPr>
        <w:t> </w:t>
      </w:r>
      <w:r>
        <w:rPr>
          <w:color w:val="000009"/>
        </w:rPr>
        <w:t>ensejaram</w:t>
      </w:r>
      <w:r>
        <w:rPr>
          <w:color w:val="000009"/>
          <w:spacing w:val="-2"/>
        </w:rPr>
        <w:t> </w:t>
      </w:r>
      <w:r>
        <w:rPr>
          <w:color w:val="000009"/>
        </w:rPr>
        <w:t>tão</w:t>
      </w:r>
      <w:r>
        <w:rPr>
          <w:color w:val="000009"/>
          <w:spacing w:val="-1"/>
        </w:rPr>
        <w:t> </w:t>
      </w:r>
      <w:r>
        <w:rPr>
          <w:color w:val="000009"/>
        </w:rPr>
        <w:t>somente</w:t>
      </w:r>
      <w:r>
        <w:rPr>
          <w:color w:val="000009"/>
          <w:spacing w:val="-1"/>
        </w:rPr>
        <w:t> </w:t>
      </w:r>
      <w:r>
        <w:rPr>
          <w:color w:val="000009"/>
        </w:rPr>
        <w:t>o</w:t>
      </w:r>
      <w:r>
        <w:rPr>
          <w:color w:val="000009"/>
          <w:spacing w:val="-3"/>
        </w:rPr>
        <w:t> </w:t>
      </w:r>
      <w:r>
        <w:rPr>
          <w:color w:val="000009"/>
        </w:rPr>
        <w:t>julgamento</w:t>
      </w:r>
      <w:r>
        <w:rPr>
          <w:color w:val="000009"/>
          <w:spacing w:val="-1"/>
        </w:rPr>
        <w:t> </w:t>
      </w:r>
      <w:r>
        <w:rPr>
          <w:color w:val="000009"/>
        </w:rPr>
        <w:t>pela</w:t>
      </w:r>
      <w:r>
        <w:rPr>
          <w:color w:val="000009"/>
          <w:spacing w:val="-1"/>
        </w:rPr>
        <w:t> </w:t>
      </w:r>
      <w:r>
        <w:rPr>
          <w:color w:val="000009"/>
        </w:rPr>
        <w:t>irregularidade</w:t>
      </w:r>
      <w:r>
        <w:rPr>
          <w:color w:val="000009"/>
          <w:spacing w:val="-1"/>
        </w:rPr>
        <w:t> </w:t>
      </w:r>
      <w:r>
        <w:rPr>
          <w:color w:val="000009"/>
        </w:rPr>
        <w:t>das</w:t>
      </w:r>
      <w:r>
        <w:rPr>
          <w:color w:val="000009"/>
          <w:spacing w:val="-1"/>
        </w:rPr>
        <w:t> </w:t>
      </w:r>
      <w:r>
        <w:rPr>
          <w:color w:val="000009"/>
        </w:rPr>
        <w:t>contas</w:t>
      </w:r>
      <w:r>
        <w:rPr>
          <w:color w:val="000009"/>
          <w:spacing w:val="-1"/>
        </w:rPr>
        <w:t> </w:t>
      </w:r>
      <w:r>
        <w:rPr>
          <w:color w:val="000009"/>
        </w:rPr>
        <w:t>sob</w:t>
      </w:r>
      <w:r>
        <w:rPr>
          <w:color w:val="000009"/>
          <w:spacing w:val="-1"/>
        </w:rPr>
        <w:t> </w:t>
      </w:r>
      <w:r>
        <w:rPr>
          <w:color w:val="000009"/>
        </w:rPr>
        <w:t>exame</w:t>
      </w:r>
      <w:r>
        <w:rPr>
          <w:color w:val="000009"/>
          <w:spacing w:val="-1"/>
        </w:rPr>
        <w:t> </w:t>
      </w:r>
      <w:r>
        <w:rPr>
          <w:color w:val="000009"/>
        </w:rPr>
        <w:t>com</w:t>
      </w:r>
      <w:r>
        <w:rPr>
          <w:color w:val="000009"/>
          <w:spacing w:val="-2"/>
        </w:rPr>
        <w:t> </w:t>
      </w:r>
      <w:r>
        <w:rPr>
          <w:color w:val="000009"/>
        </w:rPr>
        <w:t>aplicação</w:t>
      </w:r>
      <w:r>
        <w:rPr>
          <w:color w:val="000009"/>
          <w:spacing w:val="-1"/>
        </w:rPr>
        <w:t> </w:t>
      </w:r>
      <w:r>
        <w:rPr>
          <w:color w:val="000009"/>
        </w:rPr>
        <w:t>de multa.</w:t>
      </w:r>
      <w:r>
        <w:rPr>
          <w:color w:val="000009"/>
          <w:spacing w:val="-5"/>
        </w:rPr>
        <w:t> </w:t>
      </w:r>
      <w:r>
        <w:rPr>
          <w:color w:val="000009"/>
        </w:rPr>
        <w:t>Logo,</w:t>
      </w:r>
      <w:r>
        <w:rPr>
          <w:color w:val="000009"/>
          <w:spacing w:val="-3"/>
        </w:rPr>
        <w:t> </w:t>
      </w:r>
      <w:r>
        <w:rPr>
          <w:color w:val="000009"/>
        </w:rPr>
        <w:t>vislumbra-se</w:t>
      </w:r>
      <w:r>
        <w:rPr>
          <w:color w:val="000009"/>
          <w:spacing w:val="-3"/>
        </w:rPr>
        <w:t> </w:t>
      </w:r>
      <w:r>
        <w:rPr>
          <w:color w:val="000009"/>
        </w:rPr>
        <w:t>que</w:t>
      </w:r>
      <w:r>
        <w:rPr>
          <w:color w:val="000009"/>
          <w:spacing w:val="-4"/>
        </w:rPr>
        <w:t> </w:t>
      </w:r>
      <w:r>
        <w:rPr>
          <w:color w:val="000009"/>
        </w:rPr>
        <w:t>não</w:t>
      </w:r>
      <w:r>
        <w:rPr>
          <w:color w:val="000009"/>
          <w:spacing w:val="-3"/>
        </w:rPr>
        <w:t> </w:t>
      </w:r>
      <w:r>
        <w:rPr>
          <w:color w:val="000009"/>
        </w:rPr>
        <w:t>foi</w:t>
      </w:r>
      <w:r>
        <w:rPr>
          <w:color w:val="000009"/>
          <w:spacing w:val="-4"/>
        </w:rPr>
        <w:t> </w:t>
      </w:r>
      <w:r>
        <w:rPr>
          <w:color w:val="000009"/>
        </w:rPr>
        <w:t>imputado</w:t>
      </w:r>
      <w:r>
        <w:rPr>
          <w:color w:val="000009"/>
          <w:spacing w:val="-3"/>
        </w:rPr>
        <w:t> </w:t>
      </w:r>
      <w:r>
        <w:rPr>
          <w:color w:val="000009"/>
        </w:rPr>
        <w:t>qualquer</w:t>
      </w:r>
      <w:r>
        <w:rPr>
          <w:color w:val="000009"/>
          <w:spacing w:val="-4"/>
        </w:rPr>
        <w:t> </w:t>
      </w:r>
      <w:r>
        <w:rPr>
          <w:color w:val="000009"/>
        </w:rPr>
        <w:t>débito</w:t>
      </w:r>
      <w:r>
        <w:rPr>
          <w:color w:val="000009"/>
          <w:spacing w:val="-3"/>
        </w:rPr>
        <w:t> </w:t>
      </w:r>
      <w:r>
        <w:rPr>
          <w:color w:val="000009"/>
        </w:rPr>
        <w:t>antes</w:t>
      </w:r>
      <w:r>
        <w:rPr>
          <w:color w:val="000009"/>
          <w:spacing w:val="-3"/>
        </w:rPr>
        <w:t> </w:t>
      </w:r>
      <w:r>
        <w:rPr>
          <w:color w:val="000009"/>
        </w:rPr>
        <w:t>do</w:t>
      </w:r>
      <w:r>
        <w:rPr>
          <w:color w:val="000009"/>
          <w:spacing w:val="-4"/>
        </w:rPr>
        <w:t> </w:t>
      </w:r>
      <w:r>
        <w:rPr>
          <w:color w:val="000009"/>
        </w:rPr>
        <w:t>falecimento</w:t>
      </w:r>
      <w:r>
        <w:rPr>
          <w:color w:val="000009"/>
          <w:spacing w:val="-3"/>
        </w:rPr>
        <w:t> </w:t>
      </w:r>
      <w:r>
        <w:rPr>
          <w:color w:val="000009"/>
        </w:rPr>
        <w:t>do</w:t>
      </w:r>
      <w:r>
        <w:rPr>
          <w:color w:val="000009"/>
          <w:spacing w:val="-4"/>
        </w:rPr>
        <w:t> </w:t>
      </w:r>
      <w:r>
        <w:rPr>
          <w:color w:val="000009"/>
        </w:rPr>
        <w:t>Recorrente.</w:t>
      </w:r>
      <w:r>
        <w:rPr>
          <w:color w:val="000009"/>
          <w:spacing w:val="-3"/>
        </w:rPr>
        <w:t> </w:t>
      </w:r>
      <w:r>
        <w:rPr>
          <w:color w:val="000009"/>
        </w:rPr>
        <w:t>A</w:t>
      </w:r>
      <w:r>
        <w:rPr>
          <w:color w:val="000009"/>
          <w:spacing w:val="-3"/>
        </w:rPr>
        <w:t> </w:t>
      </w:r>
      <w:r>
        <w:rPr>
          <w:color w:val="000009"/>
        </w:rPr>
        <w:t>multa,</w:t>
      </w:r>
      <w:r>
        <w:rPr>
          <w:color w:val="000009"/>
          <w:spacing w:val="-3"/>
        </w:rPr>
        <w:t> </w:t>
      </w:r>
      <w:r>
        <w:rPr>
          <w:color w:val="000009"/>
        </w:rPr>
        <w:t>que</w:t>
      </w:r>
      <w:r>
        <w:rPr>
          <w:color w:val="000009"/>
          <w:spacing w:val="-4"/>
        </w:rPr>
        <w:t> </w:t>
      </w:r>
      <w:r>
        <w:rPr>
          <w:color w:val="000009"/>
        </w:rPr>
        <w:t>possui natureza punitiva, constitui-se em obrigação personalíssima, não podendo passar da pessoa da ex-gestora falecida. Noutras palavras, ante o falecimento da Recorrente, resta extinta sua punibilidade, não mais subsistindo a multa a ela imputada. Destarte, com amparo no posicionamento do TCU que entende pela validade do julgamento das contas quando o falecimento do responsável ocorre antes da prolação do acórdão, mas, após cumpridos o contraditório e a ampla defesa, com mais assertividade, pode-se constatar que não há razão para que o julgamento das contas seja prejudicado quando já houver o julgamento e o ex-gestor, inclusive, já tiver apresentado recurso, como é o caso dos presentes autos. Outrossim, este TCE/CE tem se manifestado pela possibilidade de manutenção do julgamento de mérito de contas de gestores falecidos mesmo após a prolação do acórdão e seguido pela interposição de recurso. Desta feita, conclui-se que o falecimento da Recorrente não configura óbice ao conhecimento e à análise de mérito do presente recurso, conquanto autorize a extinção da punibilidade da ex-gestora e a consequente insubsistência da multa aplicada e demais cominações personalíssimas, não prejudicando, assim, a validade do julgamento de mérito das contas, conforme sedimentado na jurisprudência do TCU e desta Corte de Contas. O Pleno Virtual do Tribunal de</w:t>
      </w:r>
      <w:r>
        <w:rPr>
          <w:color w:val="000009"/>
          <w:spacing w:val="40"/>
        </w:rPr>
        <w:t> </w:t>
      </w:r>
      <w:r>
        <w:rPr>
          <w:color w:val="000009"/>
        </w:rPr>
        <w:t>Contas do Estado do Ceará, por unanimidade dos votos, conheceu/admitiu o presente processo de Interposição de Recurso - Reconsideração, e, no mérito, deu-lhe provimento total, reformando a decisão recorrida, considerando as contas regulares, excluindo a multa e as determinações constantes no Acórdão recorrido.</w:t>
      </w:r>
    </w:p>
    <w:p>
      <w:pPr>
        <w:tabs>
          <w:tab w:pos="9425" w:val="left" w:leader="none"/>
        </w:tabs>
        <w:spacing w:before="225"/>
        <w:ind w:left="16" w:right="0" w:firstLine="0"/>
        <w:jc w:val="both"/>
        <w:rPr>
          <w:sz w:val="18"/>
        </w:rPr>
      </w:pPr>
      <w:r>
        <w:rPr>
          <w:sz w:val="18"/>
        </w:rPr>
        <w:t>Processo</w:t>
      </w:r>
      <w:r>
        <w:rPr>
          <w:spacing w:val="-3"/>
          <w:sz w:val="18"/>
        </w:rPr>
        <w:t> </w:t>
      </w:r>
      <w:r>
        <w:rPr>
          <w:sz w:val="18"/>
        </w:rPr>
        <w:t>n.°</w:t>
      </w:r>
      <w:r>
        <w:rPr>
          <w:spacing w:val="-3"/>
          <w:sz w:val="18"/>
        </w:rPr>
        <w:t> </w:t>
      </w:r>
      <w:r>
        <w:rPr>
          <w:sz w:val="18"/>
        </w:rPr>
        <w:t>21444/2019-1</w:t>
      </w:r>
      <w:r>
        <w:rPr>
          <w:spacing w:val="44"/>
          <w:sz w:val="18"/>
        </w:rPr>
        <w:t> </w:t>
      </w:r>
      <w:r>
        <w:rPr>
          <w:color w:val="000009"/>
          <w:sz w:val="18"/>
        </w:rPr>
        <w:t>Relator:</w:t>
      </w:r>
      <w:r>
        <w:rPr>
          <w:color w:val="000009"/>
          <w:spacing w:val="-2"/>
          <w:sz w:val="18"/>
        </w:rPr>
        <w:t> </w:t>
      </w:r>
      <w:r>
        <w:rPr>
          <w:color w:val="000009"/>
          <w:sz w:val="18"/>
        </w:rPr>
        <w:t>Cons.</w:t>
      </w:r>
      <w:r>
        <w:rPr>
          <w:color w:val="000009"/>
          <w:spacing w:val="-4"/>
          <w:sz w:val="18"/>
        </w:rPr>
        <w:t> </w:t>
      </w:r>
      <w:r>
        <w:rPr>
          <w:color w:val="000009"/>
          <w:sz w:val="18"/>
        </w:rPr>
        <w:t>Alexandre</w:t>
      </w:r>
      <w:r>
        <w:rPr>
          <w:color w:val="000009"/>
          <w:spacing w:val="-4"/>
          <w:sz w:val="18"/>
        </w:rPr>
        <w:t> </w:t>
      </w:r>
      <w:r>
        <w:rPr>
          <w:color w:val="000009"/>
          <w:sz w:val="18"/>
        </w:rPr>
        <w:t>Albuquerque</w:t>
      </w:r>
      <w:r>
        <w:rPr>
          <w:color w:val="000009"/>
          <w:spacing w:val="69"/>
          <w:w w:val="150"/>
          <w:sz w:val="18"/>
        </w:rPr>
        <w:t> </w:t>
      </w:r>
      <w:r>
        <w:rPr>
          <w:color w:val="1B1B1B"/>
          <w:sz w:val="18"/>
        </w:rPr>
        <w:t>Ata</w:t>
      </w:r>
      <w:r>
        <w:rPr>
          <w:color w:val="1B1B1B"/>
          <w:spacing w:val="-4"/>
          <w:sz w:val="18"/>
        </w:rPr>
        <w:t> </w:t>
      </w:r>
      <w:r>
        <w:rPr>
          <w:color w:val="1B1B1B"/>
          <w:sz w:val="18"/>
        </w:rPr>
        <w:t>n.°170/23</w:t>
      </w:r>
      <w:r>
        <w:rPr>
          <w:color w:val="1B1B1B"/>
          <w:spacing w:val="59"/>
          <w:sz w:val="18"/>
        </w:rPr>
        <w:t>   </w:t>
      </w:r>
      <w:r>
        <w:rPr>
          <w:color w:val="1B1B1B"/>
          <w:sz w:val="18"/>
        </w:rPr>
        <w:t>Sessão</w:t>
      </w:r>
      <w:r>
        <w:rPr>
          <w:color w:val="1B1B1B"/>
          <w:spacing w:val="45"/>
          <w:sz w:val="18"/>
        </w:rPr>
        <w:t> </w:t>
      </w:r>
      <w:r>
        <w:rPr>
          <w:color w:val="1B1B1B"/>
          <w:sz w:val="18"/>
        </w:rPr>
        <w:t>de</w:t>
      </w:r>
      <w:r>
        <w:rPr>
          <w:color w:val="1B1B1B"/>
          <w:spacing w:val="43"/>
          <w:sz w:val="18"/>
        </w:rPr>
        <w:t> </w:t>
      </w:r>
      <w:r>
        <w:rPr>
          <w:color w:val="1B1B1B"/>
          <w:spacing w:val="-2"/>
          <w:sz w:val="18"/>
        </w:rPr>
        <w:t>07/08/23</w:t>
      </w:r>
      <w:r>
        <w:rPr>
          <w:color w:val="1B1B1B"/>
          <w:sz w:val="18"/>
        </w:rPr>
        <w:tab/>
        <w:t>DO.</w:t>
      </w:r>
      <w:r>
        <w:rPr>
          <w:color w:val="1B1B1B"/>
          <w:spacing w:val="-3"/>
          <w:sz w:val="18"/>
        </w:rPr>
        <w:t> </w:t>
      </w:r>
      <w:r>
        <w:rPr>
          <w:color w:val="1B1B1B"/>
          <w:spacing w:val="-2"/>
          <w:sz w:val="18"/>
        </w:rPr>
        <w:t>13/09/2023.</w:t>
      </w:r>
    </w:p>
    <w:p>
      <w:pPr>
        <w:spacing w:after="0"/>
        <w:jc w:val="both"/>
        <w:rPr>
          <w:sz w:val="18"/>
        </w:rPr>
        <w:sectPr>
          <w:footerReference w:type="default" r:id="rId5"/>
          <w:type w:val="continuous"/>
          <w:pgSz w:w="11910" w:h="16840"/>
          <w:pgMar w:header="0" w:footer="716" w:top="0" w:bottom="900" w:left="566" w:right="425"/>
          <w:pgNumType w:start="1"/>
        </w:sectPr>
      </w:pPr>
    </w:p>
    <w:p>
      <w:pPr>
        <w:pStyle w:val="BodyText"/>
        <w:spacing w:before="4"/>
        <w:rPr>
          <w:sz w:val="17"/>
        </w:rPr>
      </w:pPr>
    </w:p>
    <w:p>
      <w:pPr>
        <w:pStyle w:val="BodyText"/>
        <w:ind w:left="100"/>
      </w:pPr>
      <w:r>
        <w:rPr/>
        <mc:AlternateContent>
          <mc:Choice Requires="wps">
            <w:drawing>
              <wp:inline distT="0" distB="0" distL="0" distR="0">
                <wp:extent cx="6822440" cy="349250"/>
                <wp:effectExtent l="0" t="0" r="0" b="3175"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6822440" cy="349250"/>
                          <a:chExt cx="6822440" cy="349250"/>
                        </a:xfrm>
                      </wpg:grpSpPr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22440" cy="3492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Textbox 13"/>
                        <wps:cNvSpPr txBox="1"/>
                        <wps:spPr>
                          <a:xfrm>
                            <a:off x="0" y="0"/>
                            <a:ext cx="6822440" cy="3492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01"/>
                                <w:ind w:left="0" w:right="108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22"/>
                                </w:rPr>
                                <w:t>RESOLUÇÃO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22"/>
                                </w:rPr>
                                <w:t>N.º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2"/>
                                  <w:sz w:val="22"/>
                                </w:rPr>
                                <w:t>5208/2023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2pt;height:27.5pt;mso-position-horizontal-relative:char;mso-position-vertical-relative:line" id="docshapegroup10" coordorigin="0,0" coordsize="10744,550">
                <v:shape style="position:absolute;left:0;top:0;width:10744;height:550" type="#_x0000_t75" id="docshape11" stroked="false">
                  <v:imagedata r:id="rId9" o:title=""/>
                </v:shape>
                <v:shape style="position:absolute;left:0;top:0;width:10744;height:550" type="#_x0000_t202" id="docshape12" filled="false" stroked="false">
                  <v:textbox inset="0,0,0,0">
                    <w:txbxContent>
                      <w:p>
                        <w:pPr>
                          <w:spacing w:before="101"/>
                          <w:ind w:left="0" w:right="108" w:firstLine="0"/>
                          <w:jc w:val="center"/>
                          <w:rPr>
                            <w:rFonts w:ascii="Arial" w:hAnsi="Arial"/>
                            <w:b/>
                            <w:sz w:val="22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FFFFFF"/>
                            <w:sz w:val="22"/>
                          </w:rPr>
                          <w:t>RESOLUÇÃO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z w:val="22"/>
                          </w:rPr>
                          <w:t>N.º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2"/>
                            <w:sz w:val="22"/>
                          </w:rPr>
                          <w:t>5208/2023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/>
      </w:r>
    </w:p>
    <w:p>
      <w:pPr>
        <w:pStyle w:val="BodyText"/>
        <w:spacing w:before="154"/>
        <w:rPr>
          <w:sz w:val="24"/>
        </w:rPr>
      </w:pPr>
    </w:p>
    <w:p>
      <w:pPr>
        <w:pStyle w:val="Heading1"/>
        <w:spacing w:line="276" w:lineRule="auto"/>
      </w:pPr>
      <w:r>
        <w:rPr/>
        <w:t>REPRESENTAÇÃO.</w:t>
      </w:r>
      <w:r>
        <w:rPr>
          <w:spacing w:val="-5"/>
        </w:rPr>
        <w:t> </w:t>
      </w:r>
      <w:r>
        <w:rPr/>
        <w:t>LRF.</w:t>
      </w:r>
      <w:r>
        <w:rPr>
          <w:spacing w:val="-3"/>
        </w:rPr>
        <w:t> </w:t>
      </w:r>
      <w:r>
        <w:rPr/>
        <w:t>DESCUMPRIMENTO.</w:t>
      </w:r>
      <w:r>
        <w:rPr>
          <w:spacing w:val="-3"/>
        </w:rPr>
        <w:t> </w:t>
      </w:r>
      <w:r>
        <w:rPr/>
        <w:t>OMISSÃO</w:t>
      </w:r>
      <w:r>
        <w:rPr>
          <w:spacing w:val="-3"/>
        </w:rPr>
        <w:t> </w:t>
      </w:r>
      <w:r>
        <w:rPr/>
        <w:t>NO</w:t>
      </w:r>
      <w:r>
        <w:rPr>
          <w:spacing w:val="-7"/>
        </w:rPr>
        <w:t> </w:t>
      </w:r>
      <w:r>
        <w:rPr/>
        <w:t>CADASTRO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DESPESAS</w:t>
      </w:r>
      <w:r>
        <w:rPr>
          <w:spacing w:val="-5"/>
        </w:rPr>
        <w:t> </w:t>
      </w:r>
      <w:r>
        <w:rPr/>
        <w:t>COM PESSOAL. AUSÊNCIA DE IRREGULARIDADE. IMPROCEDÊNCIA</w:t>
      </w:r>
    </w:p>
    <w:p>
      <w:pPr>
        <w:pStyle w:val="BodyText"/>
        <w:spacing w:before="14"/>
        <w:rPr>
          <w:rFonts w:ascii="Arial"/>
          <w:b/>
          <w:sz w:val="24"/>
        </w:rPr>
      </w:pPr>
    </w:p>
    <w:p>
      <w:pPr>
        <w:pStyle w:val="BodyText"/>
        <w:spacing w:line="276" w:lineRule="auto"/>
        <w:ind w:left="16" w:right="157"/>
        <w:jc w:val="both"/>
      </w:pPr>
      <w:r>
        <w:rPr>
          <w:color w:val="000009"/>
        </w:rPr>
        <w:t>Representação apresentada por vereadores do Município de Horizonte.</w:t>
      </w:r>
      <w:r>
        <w:rPr>
          <w:color w:val="000009"/>
          <w:spacing w:val="30"/>
        </w:rPr>
        <w:t> </w:t>
      </w:r>
      <w:r>
        <w:rPr>
          <w:color w:val="000009"/>
        </w:rPr>
        <w:t>Em sua petição, </w:t>
      </w:r>
      <w:r>
        <w:rPr/>
        <w:t>os representantes </w:t>
      </w:r>
      <w:r>
        <w:rPr>
          <w:color w:val="000009"/>
        </w:rPr>
        <w:t>alegaram, em suma, a omissão no cadastro de despesas com pessoal nos exercícios 2017/2018, ressaltando a repercussão no cumprimento dos limites estabelecidos pela Lei de Responsabilidade Fiscal. O art. 3º da Lei nº 1.241/2018 dispõe que “as contribuições correspondentes às alíquotas do custo normal e suplementar, relativas ao exercício de 2018, serão exigidas a partir do primeiro dia do mês seguinte ao da publicação desta lei”. Destarte, uma vez que o referido instrumento legal foi publicado em 24 de</w:t>
      </w:r>
      <w:r>
        <w:rPr>
          <w:color w:val="000009"/>
          <w:spacing w:val="-1"/>
        </w:rPr>
        <w:t> </w:t>
      </w:r>
      <w:r>
        <w:rPr>
          <w:color w:val="000009"/>
        </w:rPr>
        <w:t>agosto de 2018, a</w:t>
      </w:r>
      <w:r>
        <w:rPr>
          <w:color w:val="000009"/>
          <w:spacing w:val="-1"/>
        </w:rPr>
        <w:t> </w:t>
      </w:r>
      <w:r>
        <w:rPr>
          <w:color w:val="000009"/>
        </w:rPr>
        <w:t>alíquota de 15,32% apenas entrou em vigor em setembro do mesmo</w:t>
      </w:r>
      <w:r>
        <w:rPr>
          <w:color w:val="000009"/>
          <w:spacing w:val="-2"/>
        </w:rPr>
        <w:t> </w:t>
      </w:r>
      <w:r>
        <w:rPr>
          <w:color w:val="000009"/>
        </w:rPr>
        <w:t>ano,</w:t>
      </w:r>
      <w:r>
        <w:rPr>
          <w:color w:val="000009"/>
          <w:spacing w:val="-2"/>
        </w:rPr>
        <w:t> </w:t>
      </w:r>
      <w:r>
        <w:rPr>
          <w:color w:val="000009"/>
        </w:rPr>
        <w:t>não</w:t>
      </w:r>
      <w:r>
        <w:rPr>
          <w:color w:val="000009"/>
          <w:spacing w:val="-2"/>
        </w:rPr>
        <w:t> </w:t>
      </w:r>
      <w:r>
        <w:rPr>
          <w:color w:val="000009"/>
        </w:rPr>
        <w:t>se</w:t>
      </w:r>
      <w:r>
        <w:rPr>
          <w:color w:val="000009"/>
          <w:spacing w:val="-2"/>
        </w:rPr>
        <w:t> </w:t>
      </w:r>
      <w:r>
        <w:rPr>
          <w:color w:val="000009"/>
        </w:rPr>
        <w:t>observa</w:t>
      </w:r>
      <w:r>
        <w:rPr>
          <w:color w:val="000009"/>
          <w:spacing w:val="-3"/>
        </w:rPr>
        <w:t> </w:t>
      </w:r>
      <w:r>
        <w:rPr>
          <w:color w:val="000009"/>
        </w:rPr>
        <w:t>descumprimento</w:t>
      </w:r>
      <w:r>
        <w:rPr>
          <w:color w:val="000009"/>
          <w:spacing w:val="-2"/>
        </w:rPr>
        <w:t> </w:t>
      </w:r>
      <w:r>
        <w:rPr>
          <w:color w:val="000009"/>
        </w:rPr>
        <w:t>à</w:t>
      </w:r>
      <w:r>
        <w:rPr>
          <w:color w:val="000009"/>
          <w:spacing w:val="-2"/>
        </w:rPr>
        <w:t> </w:t>
      </w:r>
      <w:r>
        <w:rPr>
          <w:color w:val="000009"/>
        </w:rPr>
        <w:t>norma</w:t>
      </w:r>
      <w:r>
        <w:rPr>
          <w:color w:val="000009"/>
          <w:spacing w:val="-2"/>
        </w:rPr>
        <w:t> </w:t>
      </w:r>
      <w:r>
        <w:rPr>
          <w:color w:val="000009"/>
        </w:rPr>
        <w:t>legal.</w:t>
      </w:r>
      <w:r>
        <w:rPr>
          <w:color w:val="000009"/>
          <w:spacing w:val="-4"/>
        </w:rPr>
        <w:t> </w:t>
      </w:r>
      <w:r>
        <w:rPr>
          <w:color w:val="000009"/>
        </w:rPr>
        <w:t>A</w:t>
      </w:r>
      <w:r>
        <w:rPr>
          <w:color w:val="000009"/>
          <w:spacing w:val="-2"/>
        </w:rPr>
        <w:t> </w:t>
      </w:r>
      <w:r>
        <w:rPr>
          <w:color w:val="000009"/>
        </w:rPr>
        <w:t>Primeira Câmara</w:t>
      </w:r>
      <w:r>
        <w:rPr>
          <w:color w:val="000009"/>
          <w:spacing w:val="-3"/>
        </w:rPr>
        <w:t> </w:t>
      </w:r>
      <w:r>
        <w:rPr>
          <w:color w:val="000009"/>
        </w:rPr>
        <w:t>Virtual</w:t>
      </w:r>
      <w:r>
        <w:rPr>
          <w:color w:val="000009"/>
          <w:spacing w:val="-3"/>
        </w:rPr>
        <w:t> </w:t>
      </w:r>
      <w:r>
        <w:rPr>
          <w:color w:val="000009"/>
        </w:rPr>
        <w:t>do</w:t>
      </w:r>
      <w:r>
        <w:rPr>
          <w:color w:val="000009"/>
          <w:spacing w:val="-2"/>
        </w:rPr>
        <w:t> </w:t>
      </w:r>
      <w:r>
        <w:rPr>
          <w:color w:val="000009"/>
        </w:rPr>
        <w:t>Tribunal</w:t>
      </w:r>
      <w:r>
        <w:rPr>
          <w:color w:val="000009"/>
          <w:spacing w:val="-3"/>
        </w:rPr>
        <w:t> </w:t>
      </w:r>
      <w:r>
        <w:rPr>
          <w:color w:val="000009"/>
        </w:rPr>
        <w:t>de</w:t>
      </w:r>
      <w:r>
        <w:rPr>
          <w:color w:val="000009"/>
          <w:spacing w:val="-3"/>
        </w:rPr>
        <w:t> </w:t>
      </w:r>
      <w:r>
        <w:rPr>
          <w:color w:val="000009"/>
        </w:rPr>
        <w:t>Contas</w:t>
      </w:r>
      <w:r>
        <w:rPr>
          <w:color w:val="000009"/>
          <w:spacing w:val="-2"/>
        </w:rPr>
        <w:t> </w:t>
      </w:r>
      <w:r>
        <w:rPr>
          <w:color w:val="000009"/>
        </w:rPr>
        <w:t>do</w:t>
      </w:r>
      <w:r>
        <w:rPr>
          <w:color w:val="000009"/>
          <w:spacing w:val="-2"/>
        </w:rPr>
        <w:t> </w:t>
      </w:r>
      <w:r>
        <w:rPr>
          <w:color w:val="000009"/>
        </w:rPr>
        <w:t>Estado do Ceará, por unanimidade de votos, conheceu da presente Representação, todavia, no mérito, decidiu pela improcedência da Representação, tendo em vista a ausência de irregularidades.</w:t>
      </w:r>
    </w:p>
    <w:p>
      <w:pPr>
        <w:pStyle w:val="BodyText"/>
        <w:spacing w:before="55"/>
      </w:pPr>
    </w:p>
    <w:p>
      <w:pPr>
        <w:tabs>
          <w:tab w:pos="9434" w:val="left" w:leader="none"/>
        </w:tabs>
        <w:spacing w:before="0"/>
        <w:ind w:left="16" w:right="0" w:firstLine="0"/>
        <w:jc w:val="both"/>
        <w:rPr>
          <w:sz w:val="18"/>
        </w:rPr>
      </w:pPr>
      <w:r>
        <w:rPr>
          <w:sz w:val="18"/>
        </w:rPr>
        <w:t>Processo</w:t>
      </w:r>
      <w:r>
        <w:rPr>
          <w:spacing w:val="-1"/>
          <w:sz w:val="18"/>
        </w:rPr>
        <w:t> </w:t>
      </w:r>
      <w:r>
        <w:rPr>
          <w:sz w:val="18"/>
        </w:rPr>
        <w:t>n.°</w:t>
      </w:r>
      <w:r>
        <w:rPr>
          <w:spacing w:val="-3"/>
          <w:sz w:val="18"/>
        </w:rPr>
        <w:t> </w:t>
      </w:r>
      <w:r>
        <w:rPr>
          <w:sz w:val="18"/>
        </w:rPr>
        <w:t>12286/2019-8</w:t>
      </w:r>
      <w:r>
        <w:rPr>
          <w:spacing w:val="69"/>
          <w:sz w:val="18"/>
        </w:rPr>
        <w:t>    </w:t>
      </w:r>
      <w:r>
        <w:rPr>
          <w:sz w:val="18"/>
        </w:rPr>
        <w:t>Relator(a):</w:t>
      </w:r>
      <w:r>
        <w:rPr>
          <w:spacing w:val="2"/>
          <w:sz w:val="18"/>
        </w:rPr>
        <w:t> </w:t>
      </w:r>
      <w:r>
        <w:rPr>
          <w:sz w:val="18"/>
        </w:rPr>
        <w:t>Cons.</w:t>
      </w:r>
      <w:r>
        <w:rPr>
          <w:spacing w:val="-3"/>
          <w:sz w:val="18"/>
        </w:rPr>
        <w:t> </w:t>
      </w:r>
      <w:r>
        <w:rPr>
          <w:sz w:val="18"/>
        </w:rPr>
        <w:t>Patrícia</w:t>
      </w:r>
      <w:r>
        <w:rPr>
          <w:spacing w:val="-2"/>
          <w:sz w:val="18"/>
        </w:rPr>
        <w:t> </w:t>
      </w:r>
      <w:r>
        <w:rPr>
          <w:sz w:val="18"/>
        </w:rPr>
        <w:t>Saboya</w:t>
      </w:r>
      <w:r>
        <w:rPr>
          <w:spacing w:val="68"/>
          <w:w w:val="150"/>
          <w:sz w:val="18"/>
        </w:rPr>
        <w:t>   </w:t>
      </w:r>
      <w:r>
        <w:rPr>
          <w:sz w:val="18"/>
        </w:rPr>
        <w:t>Sessão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2"/>
          <w:sz w:val="18"/>
        </w:rPr>
        <w:t> </w:t>
      </w:r>
      <w:hyperlink r:id="rId10">
        <w:r>
          <w:rPr>
            <w:sz w:val="18"/>
          </w:rPr>
          <w:t>07/08/2023</w:t>
        </w:r>
      </w:hyperlink>
      <w:r>
        <w:rPr>
          <w:spacing w:val="61"/>
          <w:sz w:val="18"/>
        </w:rPr>
        <w:t>   </w:t>
      </w:r>
      <w:r>
        <w:rPr>
          <w:sz w:val="18"/>
        </w:rPr>
        <w:t>Ata</w:t>
      </w:r>
      <w:r>
        <w:rPr>
          <w:spacing w:val="-1"/>
          <w:sz w:val="18"/>
        </w:rPr>
        <w:t> </w:t>
      </w:r>
      <w:r>
        <w:rPr>
          <w:sz w:val="18"/>
        </w:rPr>
        <w:t>n.°</w:t>
      </w:r>
      <w:r>
        <w:rPr>
          <w:spacing w:val="-3"/>
          <w:sz w:val="18"/>
        </w:rPr>
        <w:t> </w:t>
      </w:r>
      <w:r>
        <w:rPr>
          <w:spacing w:val="-5"/>
          <w:sz w:val="18"/>
        </w:rPr>
        <w:t>170</w:t>
      </w:r>
      <w:r>
        <w:rPr>
          <w:sz w:val="18"/>
        </w:rPr>
        <w:tab/>
        <w:t>DO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25/08/2023.</w:t>
      </w:r>
    </w:p>
    <w:p>
      <w:pPr>
        <w:pStyle w:val="BodyText"/>
      </w:pPr>
    </w:p>
    <w:p>
      <w:pPr>
        <w:pStyle w:val="BodyText"/>
        <w:spacing w:before="15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365759</wp:posOffset>
                </wp:positionH>
                <wp:positionV relativeFrom="paragraph">
                  <wp:posOffset>260387</wp:posOffset>
                </wp:positionV>
                <wp:extent cx="6823709" cy="349250"/>
                <wp:effectExtent l="0" t="0" r="0" b="0"/>
                <wp:wrapTopAndBottom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6823709" cy="349250"/>
                          <a:chExt cx="6823709" cy="349250"/>
                        </a:xfrm>
                      </wpg:grpSpPr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23709" cy="3492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Textbox 16"/>
                        <wps:cNvSpPr txBox="1"/>
                        <wps:spPr>
                          <a:xfrm>
                            <a:off x="0" y="0"/>
                            <a:ext cx="6823709" cy="3492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3"/>
                                <w:ind w:left="6" w:right="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22"/>
                                </w:rPr>
                                <w:t>ACÓRDÃO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22"/>
                                </w:rPr>
                                <w:t>N.º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2"/>
                                  <w:sz w:val="22"/>
                                </w:rPr>
                                <w:t>2499/2023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799999pt;margin-top:20.502979pt;width:537.3pt;height:27.5pt;mso-position-horizontal-relative:page;mso-position-vertical-relative:paragraph;z-index:-15726592;mso-wrap-distance-left:0;mso-wrap-distance-right:0" id="docshapegroup13" coordorigin="576,410" coordsize="10746,550">
                <v:shape style="position:absolute;left:576;top:410;width:10746;height:550" type="#_x0000_t75" id="docshape14" stroked="false">
                  <v:imagedata r:id="rId9" o:title=""/>
                </v:shape>
                <v:shape style="position:absolute;left:576;top:410;width:10746;height:550" type="#_x0000_t202" id="docshape15" filled="false" stroked="false">
                  <v:textbox inset="0,0,0,0">
                    <w:txbxContent>
                      <w:p>
                        <w:pPr>
                          <w:spacing w:before="203"/>
                          <w:ind w:left="6" w:right="0" w:firstLine="0"/>
                          <w:jc w:val="center"/>
                          <w:rPr>
                            <w:rFonts w:ascii="Arial" w:hAnsi="Arial"/>
                            <w:b/>
                            <w:sz w:val="22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FFFFFF"/>
                            <w:sz w:val="22"/>
                          </w:rPr>
                          <w:t>ACÓRDÃO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z w:val="22"/>
                          </w:rPr>
                          <w:t>N.º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2"/>
                            <w:sz w:val="22"/>
                          </w:rPr>
                          <w:t>2499/2023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78"/>
        <w:rPr>
          <w:sz w:val="24"/>
        </w:rPr>
      </w:pPr>
    </w:p>
    <w:p>
      <w:pPr>
        <w:pStyle w:val="Heading1"/>
        <w:spacing w:line="276" w:lineRule="auto"/>
      </w:pPr>
      <w:r>
        <w:rPr/>
        <w:t>TOMADA DE CONTAS ESPECIAL. MEDICAMENTOS E MATERIAIS VENCIDOS. DANO AO ERÁRIO. AUSÊNCIA DE NEXO DE CAUSALIDADE. EXTINÇÃO DO FEITO SEM RESOLUÇÃO DE MÉRITO.</w:t>
      </w:r>
    </w:p>
    <w:p>
      <w:pPr>
        <w:pStyle w:val="BodyText"/>
        <w:spacing w:before="13"/>
        <w:rPr>
          <w:rFonts w:ascii="Arial"/>
          <w:b/>
          <w:sz w:val="24"/>
        </w:rPr>
      </w:pPr>
    </w:p>
    <w:p>
      <w:pPr>
        <w:pStyle w:val="BodyText"/>
        <w:spacing w:line="276" w:lineRule="auto"/>
        <w:ind w:left="16" w:right="166"/>
        <w:jc w:val="both"/>
      </w:pPr>
      <w:r>
        <w:rPr/>
        <w:t>Tomada de Contas Especial que constatou uma grande quantidade de medicamentos e materiais hospitalares vencidos no Centro de Distribuição da Secretaria de Saúde – SESA/CE. Destacou-se que o curso do processo já perdura por 4 (quatro) anos, não sendo possível identificar os responsáveis, requisito indispensável para a devida responsabilização. Constatou-se que o dano ao erário não está devidamente quantificado e, principalmente, não foi possível identificar os responsáveis, tampouco estabelecer o nexo de causalidade entre as condutas e a irregularidade ensejadora da TCE, razão pela qual se verifica a ausência dos pressupostos de constituição e de desenvolvimento válido e regular do processo.</w:t>
      </w:r>
      <w:r>
        <w:rPr>
          <w:spacing w:val="-4"/>
        </w:rPr>
        <w:t> </w:t>
      </w:r>
      <w:r>
        <w:rPr/>
        <w:t>O</w:t>
      </w:r>
      <w:r>
        <w:rPr>
          <w:spacing w:val="-2"/>
        </w:rPr>
        <w:t> </w:t>
      </w:r>
      <w:r>
        <w:rPr/>
        <w:t>Pleno</w:t>
      </w:r>
      <w:r>
        <w:rPr>
          <w:spacing w:val="-3"/>
        </w:rPr>
        <w:t> </w:t>
      </w:r>
      <w:r>
        <w:rPr/>
        <w:t>Virtual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Tribunal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Contas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Estado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Ceará,</w:t>
      </w:r>
      <w:r>
        <w:rPr>
          <w:spacing w:val="-4"/>
        </w:rPr>
        <w:t> </w:t>
      </w:r>
      <w:r>
        <w:rPr/>
        <w:t>por</w:t>
      </w:r>
      <w:r>
        <w:rPr>
          <w:spacing w:val="-3"/>
        </w:rPr>
        <w:t> </w:t>
      </w:r>
      <w:r>
        <w:rPr/>
        <w:t>maioria</w:t>
      </w:r>
      <w:r>
        <w:rPr>
          <w:spacing w:val="-1"/>
        </w:rPr>
        <w:t> </w:t>
      </w:r>
      <w:r>
        <w:rPr/>
        <w:t>dos</w:t>
      </w:r>
      <w:r>
        <w:rPr>
          <w:spacing w:val="-4"/>
        </w:rPr>
        <w:t> </w:t>
      </w:r>
      <w:r>
        <w:rPr/>
        <w:t>votos,</w:t>
      </w:r>
      <w:r>
        <w:rPr>
          <w:spacing w:val="-2"/>
        </w:rPr>
        <w:t> </w:t>
      </w:r>
      <w:r>
        <w:rPr/>
        <w:t>julgou</w:t>
      </w:r>
      <w:r>
        <w:rPr>
          <w:spacing w:val="-3"/>
        </w:rPr>
        <w:t> </w:t>
      </w:r>
      <w:r>
        <w:rPr/>
        <w:t>pela</w:t>
      </w:r>
      <w:r>
        <w:rPr>
          <w:spacing w:val="-2"/>
        </w:rPr>
        <w:t> </w:t>
      </w:r>
      <w:r>
        <w:rPr/>
        <w:t>extinção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/>
        <w:t>feito sem resolução de mérito, com fundamento no art. 212 do Regimento Interno do TCU, aplicado subsidiariamente por força do art. 122 do Regimento Interno deste TCE/CE, e no art. 485, inciso IV, do Código de Processo Civil.</w:t>
      </w:r>
    </w:p>
    <w:p>
      <w:pPr>
        <w:pStyle w:val="BodyText"/>
        <w:spacing w:before="54"/>
      </w:pPr>
    </w:p>
    <w:p>
      <w:pPr>
        <w:tabs>
          <w:tab w:pos="2897" w:val="left" w:leader="none"/>
          <w:tab w:pos="6391" w:val="left" w:leader="none"/>
          <w:tab w:pos="8540" w:val="left" w:leader="none"/>
          <w:tab w:pos="10029" w:val="left" w:leader="none"/>
        </w:tabs>
        <w:spacing w:before="1"/>
        <w:ind w:left="16" w:right="0" w:firstLine="0"/>
        <w:jc w:val="both"/>
        <w:rPr>
          <w:sz w:val="18"/>
        </w:rPr>
      </w:pPr>
      <w:r>
        <w:rPr>
          <w:sz w:val="18"/>
        </w:rPr>
        <w:t>Processo</w:t>
      </w:r>
      <w:r>
        <w:rPr>
          <w:spacing w:val="-10"/>
          <w:sz w:val="18"/>
        </w:rPr>
        <w:t> </w:t>
      </w:r>
      <w:r>
        <w:rPr>
          <w:sz w:val="18"/>
        </w:rPr>
        <w:t>n.°</w:t>
      </w:r>
      <w:r>
        <w:rPr>
          <w:spacing w:val="-10"/>
          <w:sz w:val="18"/>
        </w:rPr>
        <w:t> </w:t>
      </w:r>
      <w:r>
        <w:rPr>
          <w:sz w:val="18"/>
        </w:rPr>
        <w:t>31447/2018-</w:t>
      </w:r>
      <w:r>
        <w:rPr>
          <w:spacing w:val="-10"/>
          <w:sz w:val="18"/>
        </w:rPr>
        <w:t>6</w:t>
      </w:r>
      <w:r>
        <w:rPr>
          <w:sz w:val="18"/>
        </w:rPr>
        <w:tab/>
        <w:t>Relator(a):</w:t>
      </w:r>
      <w:r>
        <w:rPr>
          <w:spacing w:val="-9"/>
          <w:sz w:val="18"/>
        </w:rPr>
        <w:t> </w:t>
      </w:r>
      <w:r>
        <w:rPr>
          <w:sz w:val="18"/>
        </w:rPr>
        <w:t>Cons.</w:t>
      </w:r>
      <w:r>
        <w:rPr>
          <w:spacing w:val="-8"/>
          <w:sz w:val="18"/>
        </w:rPr>
        <w:t> </w:t>
      </w:r>
      <w:r>
        <w:rPr>
          <w:sz w:val="18"/>
        </w:rPr>
        <w:t>Patrícia</w:t>
      </w:r>
      <w:r>
        <w:rPr>
          <w:spacing w:val="-7"/>
          <w:sz w:val="18"/>
        </w:rPr>
        <w:t> </w:t>
      </w:r>
      <w:r>
        <w:rPr>
          <w:spacing w:val="-2"/>
          <w:sz w:val="18"/>
        </w:rPr>
        <w:t>Saboya</w:t>
      </w:r>
      <w:r>
        <w:rPr>
          <w:sz w:val="18"/>
        </w:rPr>
        <w:tab/>
        <w:t>Sessão</w:t>
      </w:r>
      <w:r>
        <w:rPr>
          <w:spacing w:val="45"/>
          <w:sz w:val="18"/>
        </w:rPr>
        <w:t> </w:t>
      </w:r>
      <w:r>
        <w:rPr>
          <w:sz w:val="18"/>
        </w:rPr>
        <w:t>de</w:t>
      </w:r>
      <w:r>
        <w:rPr>
          <w:spacing w:val="47"/>
          <w:sz w:val="18"/>
        </w:rPr>
        <w:t> </w:t>
      </w:r>
      <w:r>
        <w:rPr>
          <w:spacing w:val="-10"/>
          <w:sz w:val="18"/>
        </w:rPr>
        <w:t>.</w:t>
      </w:r>
      <w:r>
        <w:rPr>
          <w:sz w:val="18"/>
        </w:rPr>
        <w:tab/>
        <w:t>Ata</w:t>
      </w:r>
      <w:r>
        <w:rPr>
          <w:spacing w:val="-5"/>
          <w:sz w:val="18"/>
        </w:rPr>
        <w:t> n.°</w:t>
      </w:r>
      <w:r>
        <w:rPr>
          <w:sz w:val="18"/>
        </w:rPr>
        <w:tab/>
      </w:r>
      <w:r>
        <w:rPr>
          <w:spacing w:val="-5"/>
          <w:sz w:val="18"/>
        </w:rPr>
        <w:t>DO.</w:t>
      </w:r>
    </w:p>
    <w:p>
      <w:pPr>
        <w:spacing w:after="0"/>
        <w:jc w:val="both"/>
        <w:rPr>
          <w:sz w:val="18"/>
        </w:rPr>
        <w:sectPr>
          <w:pgSz w:w="11910" w:h="16840"/>
          <w:pgMar w:header="0" w:footer="716" w:top="1920" w:bottom="900" w:left="566" w:right="425"/>
        </w:sectPr>
      </w:pPr>
    </w:p>
    <w:p>
      <w:pPr>
        <w:pStyle w:val="BodyText"/>
        <w:ind w:left="10"/>
      </w:pPr>
      <w:r>
        <w:rPr/>
        <mc:AlternateContent>
          <mc:Choice Requires="wps">
            <w:drawing>
              <wp:inline distT="0" distB="0" distL="0" distR="0">
                <wp:extent cx="6823709" cy="350520"/>
                <wp:effectExtent l="0" t="0" r="0" b="1904"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6823709" cy="350520"/>
                          <a:chExt cx="6823709" cy="350520"/>
                        </a:xfrm>
                      </wpg:grpSpPr>
                      <pic:pic>
                        <pic:nvPicPr>
                          <pic:cNvPr id="18" name="Image 1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23709" cy="3505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Textbox 19"/>
                        <wps:cNvSpPr txBox="1"/>
                        <wps:spPr>
                          <a:xfrm>
                            <a:off x="0" y="0"/>
                            <a:ext cx="6823709" cy="3505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71"/>
                                <w:ind w:left="6" w:right="1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22"/>
                                </w:rPr>
                                <w:t>RESOLUÇÃO N.º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5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2"/>
                                  <w:sz w:val="22"/>
                                </w:rPr>
                                <w:t>6304/2023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3pt;height:27.6pt;mso-position-horizontal-relative:char;mso-position-vertical-relative:line" id="docshapegroup16" coordorigin="0,0" coordsize="10746,552">
                <v:shape style="position:absolute;left:0;top:0;width:10746;height:552" type="#_x0000_t75" id="docshape17" stroked="false">
                  <v:imagedata r:id="rId9" o:title=""/>
                </v:shape>
                <v:shape style="position:absolute;left:0;top:0;width:10746;height:552" type="#_x0000_t202" id="docshape18" filled="false" stroked="false">
                  <v:textbox inset="0,0,0,0">
                    <w:txbxContent>
                      <w:p>
                        <w:pPr>
                          <w:spacing w:before="171"/>
                          <w:ind w:left="6" w:right="1" w:firstLine="0"/>
                          <w:jc w:val="center"/>
                          <w:rPr>
                            <w:rFonts w:ascii="Arial" w:hAnsi="Arial"/>
                            <w:b/>
                            <w:sz w:val="22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FFFFFF"/>
                            <w:sz w:val="22"/>
                          </w:rPr>
                          <w:t>RESOLUÇÃO N.º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56"/>
                            <w:sz w:val="22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2"/>
                            <w:sz w:val="22"/>
                          </w:rPr>
                          <w:t>6304/2023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/>
      </w:r>
    </w:p>
    <w:p>
      <w:pPr>
        <w:pStyle w:val="BodyText"/>
        <w:spacing w:before="246"/>
        <w:rPr>
          <w:sz w:val="24"/>
        </w:rPr>
      </w:pPr>
    </w:p>
    <w:p>
      <w:pPr>
        <w:pStyle w:val="Heading1"/>
        <w:spacing w:line="360" w:lineRule="auto"/>
        <w:ind w:right="159"/>
      </w:pPr>
      <w:r>
        <w:rPr/>
        <w:t>REPRESENTAÇÃO. DISPENSA DE LICITAÇÃO. CONTRATAÇÃO EMERGENCIAL. AUSÊNCIA DE DOCUMENTOS. IRREGULARIDADES. PRESCRIÇÃO. </w:t>
      </w:r>
      <w:r>
        <w:rPr>
          <w:color w:val="000009"/>
        </w:rPr>
        <w:t>PRAZO. EXTINÇÃO DO PROCESSO. </w:t>
      </w:r>
      <w:r>
        <w:rPr>
          <w:color w:val="000009"/>
          <w:spacing w:val="-2"/>
        </w:rPr>
        <w:t>MÉRITO.</w:t>
      </w:r>
    </w:p>
    <w:p>
      <w:pPr>
        <w:pStyle w:val="BodyText"/>
        <w:spacing w:line="276" w:lineRule="auto" w:before="275"/>
        <w:ind w:left="16" w:right="159"/>
        <w:jc w:val="both"/>
      </w:pPr>
      <w:r>
        <w:rPr/>
        <w:t>Representação instaurada com o objetivo de averiguar a regularidade das contratações diretas com base em suposta situação de emergência no Município de Pacoti, bem como em vista da ausência do envio dos documentos referentes à transição governamental. Com base na Resolução Administrativa nº 03/2023 e conforme disposto nos arts. 64-A e 64-B da Lei nº 12.509, de 06 de dezembro de 1995, foi certificado que transcorreram 05 anos, 06 meses e 03 dias, contados</w:t>
      </w:r>
      <w:r>
        <w:rPr>
          <w:spacing w:val="40"/>
        </w:rPr>
        <w:t> </w:t>
      </w:r>
      <w:r>
        <w:rPr/>
        <w:t>a partir de 09/06/2017, data da autuação da Provocação que deu origem à presente Representação do TCE. No caso concreto, cumpre anotar que houve a expedição da Certidão de Acompanhamento de Prazo Prescricional n° 102/2023, no dia 21/03/2023, em que a Secretaria atestou o transcurso do prazo de 05 anos, 06 meses e 03 dias, mesmo já consideradas as causas suspensivas advindas da conhecida Pandemia. Com efeito, o processo foi alcançado pelo decurso de prazo quinquenal – sem o julgamento de mérito em tempo hábil –, o que atrai a hipótese da prescrição com consequente</w:t>
      </w:r>
      <w:r>
        <w:rPr>
          <w:spacing w:val="-2"/>
        </w:rPr>
        <w:t> </w:t>
      </w:r>
      <w:r>
        <w:rPr/>
        <w:t>extinção do</w:t>
      </w:r>
      <w:r>
        <w:rPr>
          <w:spacing w:val="-2"/>
        </w:rPr>
        <w:t> </w:t>
      </w:r>
      <w:r>
        <w:rPr/>
        <w:t>processo</w:t>
      </w:r>
      <w:r>
        <w:rPr>
          <w:spacing w:val="-2"/>
        </w:rPr>
        <w:t> </w:t>
      </w:r>
      <w:r>
        <w:rPr/>
        <w:t>com</w:t>
      </w:r>
      <w:r>
        <w:rPr>
          <w:spacing w:val="-1"/>
        </w:rPr>
        <w:t> </w:t>
      </w:r>
      <w:r>
        <w:rPr/>
        <w:t>resolução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mérito,</w:t>
      </w:r>
      <w:r>
        <w:rPr>
          <w:spacing w:val="-2"/>
        </w:rPr>
        <w:t> </w:t>
      </w:r>
      <w:r>
        <w:rPr/>
        <w:t>nos</w:t>
      </w:r>
      <w:r>
        <w:rPr>
          <w:spacing w:val="-2"/>
        </w:rPr>
        <w:t> </w:t>
      </w:r>
      <w:r>
        <w:rPr/>
        <w:t>termos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art.</w:t>
      </w:r>
      <w:r>
        <w:rPr>
          <w:spacing w:val="-2"/>
        </w:rPr>
        <w:t> </w:t>
      </w:r>
      <w:r>
        <w:rPr/>
        <w:t>35-A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LOTCM,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ulterior</w:t>
      </w:r>
      <w:r>
        <w:rPr>
          <w:spacing w:val="-1"/>
        </w:rPr>
        <w:t> </w:t>
      </w:r>
      <w:r>
        <w:rPr/>
        <w:t>arquivamento dos autos, com fundamento no art. 114-A, inciso II, do Regimento Interno do extinto Tribunal de Contas dos Municípios. Nos Tribunais de Contas, a prescrição se revela como o poder-dever imposto à Administração Pública de deixar de aplicar uma sanção, quando restar caracterizada a inércia do órgão de controle em certo espaço de tempo, previamente disposto em lei. Em suma, a aplicação desse instituto visa garantir ao jurisdicionado o pleno exercício à ampla defesa e ao contraditório, na medida em que favorece a obtenção de provas que estão ao seu alcance em prazo razoável; combater a perseguição excessiva e indefinida no tempo pela Administração Pública, e, por fim, tornar o julgamento dos processos mais célere e eficaz na proporção em que impõe à Corte um prazo para realizá-los.</w:t>
      </w:r>
      <w:r>
        <w:rPr>
          <w:spacing w:val="40"/>
        </w:rPr>
        <w:t> </w:t>
      </w:r>
      <w:r>
        <w:rPr/>
        <w:t>A Segunda Câmara Virtual do Tribunal de Contas do Estado do Ceará, por unanimidade dos votos, julgou pela extinção do feito com resolução de mérito, ante o reconhecimento da prescrição.</w:t>
      </w:r>
    </w:p>
    <w:p>
      <w:pPr>
        <w:pStyle w:val="BodyText"/>
        <w:spacing w:before="106"/>
      </w:pPr>
    </w:p>
    <w:p>
      <w:pPr>
        <w:spacing w:before="0"/>
        <w:ind w:left="16" w:right="0" w:firstLine="0"/>
        <w:jc w:val="both"/>
        <w:rPr>
          <w:sz w:val="18"/>
        </w:rPr>
      </w:pPr>
      <w:r>
        <w:rPr>
          <w:sz w:val="18"/>
        </w:rPr>
        <w:t>Processo</w:t>
      </w:r>
      <w:r>
        <w:rPr>
          <w:spacing w:val="-2"/>
          <w:sz w:val="18"/>
        </w:rPr>
        <w:t> </w:t>
      </w:r>
      <w:r>
        <w:rPr>
          <w:sz w:val="18"/>
        </w:rPr>
        <w:t>n.°</w:t>
      </w:r>
      <w:r>
        <w:rPr>
          <w:spacing w:val="-3"/>
          <w:sz w:val="18"/>
        </w:rPr>
        <w:t> </w:t>
      </w:r>
      <w:r>
        <w:rPr>
          <w:sz w:val="18"/>
        </w:rPr>
        <w:t>19190/2018-1</w:t>
      </w:r>
      <w:r>
        <w:rPr>
          <w:spacing w:val="44"/>
          <w:sz w:val="18"/>
        </w:rPr>
        <w:t>  </w:t>
      </w:r>
      <w:r>
        <w:rPr>
          <w:sz w:val="18"/>
        </w:rPr>
        <w:t>Relator(a): Cons.</w:t>
      </w:r>
      <w:r>
        <w:rPr>
          <w:spacing w:val="-4"/>
          <w:sz w:val="18"/>
        </w:rPr>
        <w:t> </w:t>
      </w:r>
      <w:r>
        <w:rPr>
          <w:sz w:val="18"/>
        </w:rPr>
        <w:t>Soraia</w:t>
      </w:r>
      <w:r>
        <w:rPr>
          <w:spacing w:val="-3"/>
          <w:sz w:val="18"/>
        </w:rPr>
        <w:t> </w:t>
      </w:r>
      <w:r>
        <w:rPr>
          <w:sz w:val="18"/>
        </w:rPr>
        <w:t>Thomaz</w:t>
      </w:r>
      <w:r>
        <w:rPr>
          <w:spacing w:val="-3"/>
          <w:sz w:val="18"/>
        </w:rPr>
        <w:t> </w:t>
      </w:r>
      <w:r>
        <w:rPr>
          <w:sz w:val="18"/>
        </w:rPr>
        <w:t>Dias</w:t>
      </w:r>
      <w:r>
        <w:rPr>
          <w:spacing w:val="-2"/>
          <w:sz w:val="18"/>
        </w:rPr>
        <w:t> </w:t>
      </w:r>
      <w:r>
        <w:rPr>
          <w:sz w:val="18"/>
        </w:rPr>
        <w:t>Victor.</w:t>
      </w:r>
      <w:r>
        <w:rPr>
          <w:spacing w:val="45"/>
          <w:sz w:val="18"/>
        </w:rPr>
        <w:t> </w:t>
      </w:r>
      <w:r>
        <w:rPr>
          <w:sz w:val="18"/>
        </w:rPr>
        <w:t>Sessão</w:t>
      </w:r>
      <w:r>
        <w:rPr>
          <w:spacing w:val="-4"/>
          <w:sz w:val="18"/>
        </w:rPr>
        <w:t> </w:t>
      </w:r>
      <w:r>
        <w:rPr>
          <w:sz w:val="18"/>
        </w:rPr>
        <w:t>de</w:t>
      </w:r>
      <w:r>
        <w:rPr>
          <w:spacing w:val="-3"/>
          <w:sz w:val="18"/>
        </w:rPr>
        <w:t> </w:t>
      </w:r>
      <w:r>
        <w:rPr>
          <w:sz w:val="18"/>
        </w:rPr>
        <w:t>28/08/2023</w:t>
      </w:r>
      <w:r>
        <w:rPr>
          <w:spacing w:val="73"/>
          <w:w w:val="150"/>
          <w:sz w:val="18"/>
        </w:rPr>
        <w:t> </w:t>
      </w:r>
      <w:r>
        <w:rPr>
          <w:sz w:val="18"/>
        </w:rPr>
        <w:t>Ata</w:t>
      </w:r>
      <w:r>
        <w:rPr>
          <w:spacing w:val="-4"/>
          <w:sz w:val="18"/>
        </w:rPr>
        <w:t> </w:t>
      </w:r>
      <w:r>
        <w:rPr>
          <w:sz w:val="18"/>
        </w:rPr>
        <w:t>n.°172</w:t>
      </w:r>
      <w:r>
        <w:rPr>
          <w:spacing w:val="67"/>
          <w:w w:val="150"/>
          <w:sz w:val="18"/>
        </w:rPr>
        <w:t>   </w:t>
      </w:r>
      <w:r>
        <w:rPr>
          <w:sz w:val="18"/>
        </w:rPr>
        <w:t>DO.</w:t>
      </w:r>
      <w:r>
        <w:rPr>
          <w:spacing w:val="-2"/>
          <w:sz w:val="18"/>
        </w:rPr>
        <w:t> 25/09/2023.</w:t>
      </w:r>
    </w:p>
    <w:p>
      <w:pPr>
        <w:pStyle w:val="BodyText"/>
        <w:spacing w:before="2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365759</wp:posOffset>
                </wp:positionH>
                <wp:positionV relativeFrom="paragraph">
                  <wp:posOffset>104198</wp:posOffset>
                </wp:positionV>
                <wp:extent cx="6823709" cy="349250"/>
                <wp:effectExtent l="0" t="0" r="0" b="0"/>
                <wp:wrapTopAndBottom/>
                <wp:docPr id="20" name="Group 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" name="Group 20"/>
                      <wpg:cNvGrpSpPr/>
                      <wpg:grpSpPr>
                        <a:xfrm>
                          <a:off x="0" y="0"/>
                          <a:ext cx="6823709" cy="349250"/>
                          <a:chExt cx="6823709" cy="349250"/>
                        </a:xfrm>
                      </wpg:grpSpPr>
                      <pic:pic>
                        <pic:nvPicPr>
                          <pic:cNvPr id="21" name="Image 2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23709" cy="3492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Textbox 22"/>
                        <wps:cNvSpPr txBox="1"/>
                        <wps:spPr>
                          <a:xfrm>
                            <a:off x="0" y="0"/>
                            <a:ext cx="6823709" cy="3492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69"/>
                                <w:ind w:left="6" w:right="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22"/>
                                </w:rPr>
                                <w:t>ACÓRDÃO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22"/>
                                </w:rPr>
                                <w:t>N.º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2"/>
                                  <w:sz w:val="22"/>
                                </w:rPr>
                                <w:t>2505/2023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799999pt;margin-top:8.204638pt;width:537.3pt;height:27.5pt;mso-position-horizontal-relative:page;mso-position-vertical-relative:paragraph;z-index:-15725568;mso-wrap-distance-left:0;mso-wrap-distance-right:0" id="docshapegroup19" coordorigin="576,164" coordsize="10746,550">
                <v:shape style="position:absolute;left:576;top:164;width:10746;height:550" type="#_x0000_t75" id="docshape20" stroked="false">
                  <v:imagedata r:id="rId9" o:title=""/>
                </v:shape>
                <v:shape style="position:absolute;left:576;top:164;width:10746;height:550" type="#_x0000_t202" id="docshape21" filled="false" stroked="false">
                  <v:textbox inset="0,0,0,0">
                    <w:txbxContent>
                      <w:p>
                        <w:pPr>
                          <w:spacing w:before="169"/>
                          <w:ind w:left="6" w:right="0" w:firstLine="0"/>
                          <w:jc w:val="center"/>
                          <w:rPr>
                            <w:rFonts w:ascii="Arial" w:hAnsi="Arial"/>
                            <w:b/>
                            <w:sz w:val="22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FFFFFF"/>
                            <w:sz w:val="22"/>
                          </w:rPr>
                          <w:t>ACÓRDÃO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z w:val="22"/>
                          </w:rPr>
                          <w:t>N.º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2"/>
                            <w:sz w:val="22"/>
                          </w:rPr>
                          <w:t>2505/2023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218"/>
        <w:rPr>
          <w:sz w:val="24"/>
        </w:rPr>
      </w:pPr>
    </w:p>
    <w:p>
      <w:pPr>
        <w:pStyle w:val="Heading1"/>
        <w:spacing w:line="360" w:lineRule="auto"/>
        <w:ind w:right="165"/>
      </w:pPr>
      <w:r>
        <w:rPr/>
        <w:t>TOMADA DE CONTAS ESPECIAL. TRANSCURSO DO PRAZO PRESCRICIONAL DE CINCO ANOS. AUSÊNCIA DE CITAÇÃO. PRINCÍPIOS DA SEGURANÇA JURÍDICA E DO DEVIDO PROCESSO LEGAL. EXTINÇÃO DO PROCESSO. MÉRITO.</w:t>
      </w:r>
    </w:p>
    <w:p>
      <w:pPr>
        <w:pStyle w:val="BodyText"/>
        <w:spacing w:before="35"/>
        <w:rPr>
          <w:rFonts w:ascii="Arial"/>
          <w:b/>
          <w:sz w:val="24"/>
        </w:rPr>
      </w:pPr>
    </w:p>
    <w:p>
      <w:pPr>
        <w:pStyle w:val="BodyText"/>
        <w:spacing w:line="276" w:lineRule="auto"/>
        <w:ind w:left="16" w:right="166"/>
        <w:jc w:val="both"/>
      </w:pPr>
      <w:r>
        <w:rPr/>
        <w:t>Tomada de Contas Especial em</w:t>
      </w:r>
      <w:r>
        <w:rPr>
          <w:spacing w:val="-1"/>
        </w:rPr>
        <w:t> </w:t>
      </w:r>
      <w:r>
        <w:rPr/>
        <w:t>desfavor do Fundo de Saúde do Município de</w:t>
      </w:r>
      <w:r>
        <w:rPr>
          <w:spacing w:val="-2"/>
        </w:rPr>
        <w:t> </w:t>
      </w:r>
      <w:r>
        <w:rPr/>
        <w:t>Ocara, decorrente de inspeção nas obras de reforma e ampliação do Hospital e Maternidade Francisco Raimundo Marcos. Decorrido mais de cinco anos desde a autuação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processo,</w:t>
      </w:r>
      <w:r>
        <w:rPr>
          <w:spacing w:val="-2"/>
        </w:rPr>
        <w:t> </w:t>
      </w:r>
      <w:r>
        <w:rPr/>
        <w:t>deve</w:t>
      </w:r>
      <w:r>
        <w:rPr>
          <w:spacing w:val="-2"/>
        </w:rPr>
        <w:t> </w:t>
      </w:r>
      <w:r>
        <w:rPr/>
        <w:t>ser</w:t>
      </w:r>
      <w:r>
        <w:rPr>
          <w:spacing w:val="-1"/>
        </w:rPr>
        <w:t> </w:t>
      </w:r>
      <w:r>
        <w:rPr/>
        <w:t>reconhecida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prescrição,</w:t>
      </w:r>
      <w:r>
        <w:rPr>
          <w:spacing w:val="-2"/>
        </w:rPr>
        <w:t> </w:t>
      </w:r>
      <w:r>
        <w:rPr/>
        <w:t>nos</w:t>
      </w:r>
      <w:r>
        <w:rPr>
          <w:spacing w:val="-2"/>
        </w:rPr>
        <w:t> </w:t>
      </w:r>
      <w:r>
        <w:rPr/>
        <w:t>termos</w:t>
      </w:r>
      <w:r>
        <w:rPr>
          <w:spacing w:val="-2"/>
        </w:rPr>
        <w:t> </w:t>
      </w:r>
      <w:r>
        <w:rPr/>
        <w:t>dos arts.</w:t>
      </w:r>
      <w:r>
        <w:rPr>
          <w:spacing w:val="-2"/>
        </w:rPr>
        <w:t> </w:t>
      </w:r>
      <w:r>
        <w:rPr/>
        <w:t>64-A</w:t>
      </w:r>
      <w:r>
        <w:rPr>
          <w:spacing w:val="-2"/>
        </w:rPr>
        <w:t> </w:t>
      </w:r>
      <w:r>
        <w:rPr/>
        <w:t>e</w:t>
      </w:r>
      <w:r>
        <w:rPr>
          <w:spacing w:val="-1"/>
        </w:rPr>
        <w:t> </w:t>
      </w:r>
      <w:r>
        <w:rPr/>
        <w:t>64-B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Lei</w:t>
      </w:r>
      <w:r>
        <w:rPr>
          <w:spacing w:val="-3"/>
        </w:rPr>
        <w:t> </w:t>
      </w:r>
      <w:r>
        <w:rPr/>
        <w:t>nº</w:t>
      </w:r>
      <w:r>
        <w:rPr>
          <w:spacing w:val="-3"/>
        </w:rPr>
        <w:t> </w:t>
      </w:r>
      <w:r>
        <w:rPr/>
        <w:t>12.509/95</w:t>
      </w:r>
      <w:r>
        <w:rPr>
          <w:spacing w:val="-2"/>
        </w:rPr>
        <w:t> </w:t>
      </w:r>
      <w:r>
        <w:rPr/>
        <w:t>c/c</w:t>
      </w:r>
      <w:r>
        <w:rPr>
          <w:spacing w:val="-2"/>
        </w:rPr>
        <w:t> </w:t>
      </w:r>
      <w:r>
        <w:rPr/>
        <w:t>arts. 35-A, 35-B, 35-C e 35-D da Lei n° 12.160/93 e c/c art. 3º da Lei nº 16.819/19, com a extinção do feito com resolução de mérito, aplicando-se subsidiariamente o art. 487, inciso II, do novo Código de Processo Civil, não havendo que se falar em realização de citação </w:t>
      </w:r>
      <w:r>
        <w:rPr>
          <w:rFonts w:ascii="Arial" w:hAnsi="Arial"/>
          <w:i/>
        </w:rPr>
        <w:t>a posteriori</w:t>
      </w:r>
      <w:r>
        <w:rPr>
          <w:color w:val="73479C"/>
        </w:rPr>
        <w:t>, </w:t>
      </w:r>
      <w:r>
        <w:rPr/>
        <w:t>uma vez que, além de ser um ato antieconômico, representaria uma afronta aos princípios da segurança jurídica e do devido processo legal; notadamente quando não foram assegurados, em tempo oportuno,</w:t>
      </w:r>
      <w:r>
        <w:rPr>
          <w:spacing w:val="-4"/>
        </w:rPr>
        <w:t> </w:t>
      </w:r>
      <w:r>
        <w:rPr/>
        <w:t>o</w:t>
      </w:r>
      <w:r>
        <w:rPr>
          <w:spacing w:val="-2"/>
        </w:rPr>
        <w:t> </w:t>
      </w:r>
      <w:r>
        <w:rPr/>
        <w:t>contraditório</w:t>
      </w:r>
      <w:r>
        <w:rPr>
          <w:spacing w:val="-2"/>
        </w:rPr>
        <w:t> </w:t>
      </w:r>
      <w:r>
        <w:rPr/>
        <w:t>e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ampla</w:t>
      </w:r>
      <w:r>
        <w:rPr>
          <w:spacing w:val="-3"/>
        </w:rPr>
        <w:t> </w:t>
      </w:r>
      <w:r>
        <w:rPr/>
        <w:t>defesa,</w:t>
      </w:r>
      <w:r>
        <w:rPr>
          <w:spacing w:val="-2"/>
        </w:rPr>
        <w:t> </w:t>
      </w:r>
      <w:r>
        <w:rPr/>
        <w:t>com</w:t>
      </w:r>
      <w:r>
        <w:rPr>
          <w:spacing w:val="-3"/>
        </w:rPr>
        <w:t> </w:t>
      </w:r>
      <w:r>
        <w:rPr/>
        <w:t>todos</w:t>
      </w:r>
      <w:r>
        <w:rPr>
          <w:spacing w:val="-2"/>
        </w:rPr>
        <w:t> </w:t>
      </w:r>
      <w:r>
        <w:rPr/>
        <w:t>os</w:t>
      </w:r>
      <w:r>
        <w:rPr>
          <w:spacing w:val="-2"/>
        </w:rPr>
        <w:t> </w:t>
      </w:r>
      <w:r>
        <w:rPr/>
        <w:t>recursos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ela</w:t>
      </w:r>
      <w:r>
        <w:rPr>
          <w:spacing w:val="-2"/>
        </w:rPr>
        <w:t> </w:t>
      </w:r>
      <w:r>
        <w:rPr/>
        <w:t>inerentes.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Primeira</w:t>
      </w:r>
      <w:r>
        <w:rPr>
          <w:spacing w:val="-2"/>
        </w:rPr>
        <w:t> </w:t>
      </w:r>
      <w:r>
        <w:rPr/>
        <w:t>Câmara</w:t>
      </w:r>
      <w:r>
        <w:rPr>
          <w:spacing w:val="-2"/>
        </w:rPr>
        <w:t> </w:t>
      </w:r>
      <w:r>
        <w:rPr/>
        <w:t>Virtual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</w:t>
      </w:r>
      <w:r>
        <w:rPr/>
        <w:t>Tribunal de Contas do Estado do Ceará, por unanimidade dos votos, julgou pela extinção do feito com resolução de mérito, ante</w:t>
      </w:r>
      <w:r>
        <w:rPr>
          <w:spacing w:val="40"/>
        </w:rPr>
        <w:t> </w:t>
      </w:r>
      <w:r>
        <w:rPr/>
        <w:t>o reconhecimento da prescrição.</w:t>
      </w:r>
    </w:p>
    <w:p>
      <w:pPr>
        <w:pStyle w:val="BodyText"/>
        <w:spacing w:before="74"/>
      </w:pPr>
    </w:p>
    <w:p>
      <w:pPr>
        <w:tabs>
          <w:tab w:pos="5831" w:val="left" w:leader="none"/>
          <w:tab w:pos="9428" w:val="left" w:leader="none"/>
        </w:tabs>
        <w:spacing w:before="0"/>
        <w:ind w:left="16" w:right="0" w:firstLine="0"/>
        <w:jc w:val="both"/>
        <w:rPr>
          <w:sz w:val="18"/>
        </w:rPr>
      </w:pPr>
      <w:r>
        <w:rPr>
          <w:sz w:val="18"/>
        </w:rPr>
        <w:t>Processo</w:t>
      </w:r>
      <w:r>
        <w:rPr>
          <w:spacing w:val="-2"/>
          <w:sz w:val="18"/>
        </w:rPr>
        <w:t> </w:t>
      </w:r>
      <w:r>
        <w:rPr>
          <w:sz w:val="18"/>
        </w:rPr>
        <w:t>nº:</w:t>
      </w:r>
      <w:r>
        <w:rPr>
          <w:spacing w:val="-3"/>
          <w:sz w:val="18"/>
        </w:rPr>
        <w:t> </w:t>
      </w:r>
      <w:r>
        <w:rPr>
          <w:sz w:val="18"/>
        </w:rPr>
        <w:t>36002/2018-4</w:t>
      </w:r>
      <w:r>
        <w:rPr>
          <w:spacing w:val="76"/>
          <w:sz w:val="18"/>
        </w:rPr>
        <w:t>   </w:t>
      </w:r>
      <w:r>
        <w:rPr>
          <w:sz w:val="18"/>
        </w:rPr>
        <w:t>Relator(a): Cons.</w:t>
      </w:r>
      <w:r>
        <w:rPr>
          <w:spacing w:val="-3"/>
          <w:sz w:val="18"/>
        </w:rPr>
        <w:t> </w:t>
      </w:r>
      <w:r>
        <w:rPr>
          <w:sz w:val="18"/>
        </w:rPr>
        <w:t>Patrícia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Saboya</w:t>
      </w:r>
      <w:r>
        <w:rPr>
          <w:sz w:val="18"/>
        </w:rPr>
        <w:tab/>
        <w:t>Sessão</w:t>
      </w:r>
      <w:r>
        <w:rPr>
          <w:spacing w:val="-1"/>
          <w:sz w:val="18"/>
        </w:rPr>
        <w:t> </w:t>
      </w:r>
      <w:r>
        <w:rPr>
          <w:sz w:val="18"/>
        </w:rPr>
        <w:t>de</w:t>
      </w:r>
      <w:r>
        <w:rPr>
          <w:spacing w:val="2"/>
          <w:sz w:val="18"/>
        </w:rPr>
        <w:t> </w:t>
      </w:r>
      <w:hyperlink r:id="rId10">
        <w:r>
          <w:rPr>
            <w:sz w:val="18"/>
          </w:rPr>
          <w:t>07/08/2023</w:t>
        </w:r>
      </w:hyperlink>
      <w:r>
        <w:rPr>
          <w:spacing w:val="62"/>
          <w:sz w:val="18"/>
        </w:rPr>
        <w:t>   </w:t>
      </w:r>
      <w:r>
        <w:rPr>
          <w:sz w:val="18"/>
        </w:rPr>
        <w:t>Ata</w:t>
      </w:r>
      <w:r>
        <w:rPr>
          <w:spacing w:val="-3"/>
          <w:sz w:val="18"/>
        </w:rPr>
        <w:t> </w:t>
      </w:r>
      <w:r>
        <w:rPr>
          <w:sz w:val="18"/>
        </w:rPr>
        <w:t>n.°</w:t>
      </w:r>
      <w:r>
        <w:rPr>
          <w:spacing w:val="-3"/>
          <w:sz w:val="18"/>
        </w:rPr>
        <w:t> </w:t>
      </w:r>
      <w:r>
        <w:rPr>
          <w:spacing w:val="-5"/>
          <w:sz w:val="18"/>
        </w:rPr>
        <w:t>170</w:t>
      </w:r>
      <w:r>
        <w:rPr>
          <w:sz w:val="18"/>
        </w:rPr>
        <w:tab/>
        <w:t>DO.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25/08/2023.</w:t>
      </w:r>
    </w:p>
    <w:p>
      <w:pPr>
        <w:spacing w:after="0"/>
        <w:jc w:val="both"/>
        <w:rPr>
          <w:sz w:val="18"/>
        </w:rPr>
        <w:sectPr>
          <w:pgSz w:w="11910" w:h="16840"/>
          <w:pgMar w:header="0" w:footer="716" w:top="1480" w:bottom="900" w:left="566" w:right="425"/>
        </w:sectPr>
      </w:pPr>
    </w:p>
    <w:p>
      <w:pPr>
        <w:pStyle w:val="BodyText"/>
        <w:ind w:left="1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1270</wp:posOffset>
                </wp:positionH>
                <wp:positionV relativeFrom="page">
                  <wp:posOffset>10145539</wp:posOffset>
                </wp:positionV>
                <wp:extent cx="7556500" cy="546100"/>
                <wp:effectExtent l="0" t="0" r="0" b="0"/>
                <wp:wrapNone/>
                <wp:docPr id="23" name="Group 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" name="Group 23"/>
                      <wpg:cNvGrpSpPr/>
                      <wpg:grpSpPr>
                        <a:xfrm>
                          <a:off x="0" y="0"/>
                          <a:ext cx="7556500" cy="546100"/>
                          <a:chExt cx="7556500" cy="546100"/>
                        </a:xfrm>
                      </wpg:grpSpPr>
                      <pic:pic>
                        <pic:nvPicPr>
                          <pic:cNvPr id="24" name="Image 24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23240"/>
                            <a:ext cx="16510" cy="253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5" name="Image 25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40" y="0"/>
                            <a:ext cx="7553959" cy="5461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.1pt;margin-top:798.861389pt;width:595pt;height:43pt;mso-position-horizontal-relative:page;mso-position-vertical-relative:page;z-index:15732736" id="docshapegroup22" coordorigin="2,15977" coordsize="11900,860">
                <v:shape style="position:absolute;left:2;top:16801;width:26;height:4" type="#_x0000_t75" id="docshape23" stroked="false">
                  <v:imagedata r:id="rId12" o:title=""/>
                </v:shape>
                <v:shape style="position:absolute;left:6;top:15977;width:11896;height:860" type="#_x0000_t75" id="docshape24" stroked="false">
                  <v:imagedata r:id="rId13" o:title="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inline distT="0" distB="0" distL="0" distR="0">
                <wp:extent cx="6823709" cy="350520"/>
                <wp:effectExtent l="0" t="0" r="0" b="1904"/>
                <wp:docPr id="26" name="Group 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" name="Group 26"/>
                      <wpg:cNvGrpSpPr/>
                      <wpg:grpSpPr>
                        <a:xfrm>
                          <a:off x="0" y="0"/>
                          <a:ext cx="6823709" cy="350520"/>
                          <a:chExt cx="6823709" cy="350520"/>
                        </a:xfrm>
                      </wpg:grpSpPr>
                      <pic:pic>
                        <pic:nvPicPr>
                          <pic:cNvPr id="27" name="Image 2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23709" cy="3505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" name="Textbox 28"/>
                        <wps:cNvSpPr txBox="1"/>
                        <wps:spPr>
                          <a:xfrm>
                            <a:off x="0" y="0"/>
                            <a:ext cx="6823709" cy="3505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73"/>
                                <w:ind w:left="6" w:right="3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22"/>
                                </w:rPr>
                                <w:t>RESOLUÇÃO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22"/>
                                </w:rPr>
                                <w:t>N.°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2"/>
                                  <w:sz w:val="22"/>
                                </w:rPr>
                                <w:t>5420/2023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3pt;height:27.6pt;mso-position-horizontal-relative:char;mso-position-vertical-relative:line" id="docshapegroup25" coordorigin="0,0" coordsize="10746,552">
                <v:shape style="position:absolute;left:0;top:0;width:10746;height:552" type="#_x0000_t75" id="docshape26" stroked="false">
                  <v:imagedata r:id="rId9" o:title=""/>
                </v:shape>
                <v:shape style="position:absolute;left:0;top:0;width:10746;height:552" type="#_x0000_t202" id="docshape27" filled="false" stroked="false">
                  <v:textbox inset="0,0,0,0">
                    <w:txbxContent>
                      <w:p>
                        <w:pPr>
                          <w:spacing w:before="173"/>
                          <w:ind w:left="6" w:right="3" w:firstLine="0"/>
                          <w:jc w:val="center"/>
                          <w:rPr>
                            <w:rFonts w:ascii="Arial" w:hAnsi="Arial"/>
                            <w:b/>
                            <w:sz w:val="22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FFFFFF"/>
                            <w:sz w:val="22"/>
                          </w:rPr>
                          <w:t>RESOLUÇÃO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z w:val="22"/>
                          </w:rPr>
                          <w:t>N.°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2"/>
                            <w:sz w:val="22"/>
                          </w:rPr>
                          <w:t>5420/2023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/>
      </w:r>
    </w:p>
    <w:p>
      <w:pPr>
        <w:pStyle w:val="BodyText"/>
        <w:rPr>
          <w:sz w:val="24"/>
        </w:rPr>
      </w:pPr>
    </w:p>
    <w:p>
      <w:pPr>
        <w:pStyle w:val="BodyText"/>
        <w:spacing w:before="64"/>
        <w:rPr>
          <w:sz w:val="24"/>
        </w:rPr>
      </w:pPr>
    </w:p>
    <w:p>
      <w:pPr>
        <w:pStyle w:val="Heading1"/>
        <w:spacing w:line="360" w:lineRule="auto"/>
        <w:ind w:right="161"/>
      </w:pPr>
      <w:r>
        <w:rPr/>
        <w:t>NOMEAÇÃO. SERVIDOR PÚBLICO. ADMISSÃO DE PESSOAL. AUSÊNCIA DE CONCURSO PÚBLICO. IRREGULARIDADE ADMINISTRATIVA. PRINCÍPIO DA DIGNIDADE DA PESSOA HUMANA. PRINCÍPIO DA SEGURANÇA JURÍDICA. REGISTRO DE SERVIDORES.</w:t>
      </w:r>
    </w:p>
    <w:p>
      <w:pPr>
        <w:pStyle w:val="BodyText"/>
        <w:spacing w:before="103"/>
        <w:rPr>
          <w:rFonts w:ascii="Arial"/>
          <w:b/>
          <w:sz w:val="24"/>
        </w:rPr>
      </w:pPr>
    </w:p>
    <w:p>
      <w:pPr>
        <w:pStyle w:val="BodyText"/>
        <w:spacing w:line="276" w:lineRule="auto"/>
        <w:ind w:left="16" w:right="156"/>
        <w:jc w:val="both"/>
      </w:pPr>
      <w:r>
        <w:rPr/>
        <w:t>Nomeação autuada em consequência de possíveis irregularidades administrativas praticadas na Câmara Municipal de Fortaleza, mais precisamente, servidores admitidos sem concurso público, após a promulgação da Constituição Federal de 1988. É certo que a Carta Magna em seu artigo 37, inciso II, instituiu o concurso público como forma de acesso aos cargos públicos ou empregos públicos, contudo o procedimento adotado pela então administração municipal nos exercícios de 1988 a 1992 não pode ser considerado irregular, todos os servidores constantes do quadro acima, foram reenquadrados antes de 1993. Acontece que, à época dos fatos 1987 a 1992, o entendimento a respeito do tema não era pacífico, certo que, apenas em 17/02/1993, é que o Supremo Tribunal Federal suspendeu, com efeito ex nunc, a eficácia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</w:t>
      </w:r>
      <w:r>
        <w:rPr/>
        <w:t>art.</w:t>
      </w:r>
      <w:r>
        <w:rPr>
          <w:spacing w:val="-1"/>
        </w:rPr>
        <w:t> </w:t>
      </w:r>
      <w:r>
        <w:rPr/>
        <w:t>8º,</w:t>
      </w:r>
      <w:r>
        <w:rPr>
          <w:spacing w:val="-1"/>
        </w:rPr>
        <w:t> </w:t>
      </w:r>
      <w:r>
        <w:rPr/>
        <w:t>III;</w:t>
      </w:r>
      <w:r>
        <w:rPr>
          <w:spacing w:val="-3"/>
        </w:rPr>
        <w:t> </w:t>
      </w:r>
      <w:r>
        <w:rPr/>
        <w:t>art.</w:t>
      </w:r>
      <w:r>
        <w:rPr>
          <w:spacing w:val="-1"/>
        </w:rPr>
        <w:t> </w:t>
      </w:r>
      <w:r>
        <w:rPr/>
        <w:t>10,</w:t>
      </w:r>
      <w:r>
        <w:rPr>
          <w:spacing w:val="-3"/>
        </w:rPr>
        <w:t> </w:t>
      </w:r>
      <w:r>
        <w:rPr/>
        <w:t>parágrafo</w:t>
      </w:r>
      <w:r>
        <w:rPr>
          <w:spacing w:val="-1"/>
        </w:rPr>
        <w:t> </w:t>
      </w:r>
      <w:r>
        <w:rPr/>
        <w:t>único;</w:t>
      </w:r>
      <w:r>
        <w:rPr>
          <w:spacing w:val="-3"/>
        </w:rPr>
        <w:t> </w:t>
      </w:r>
      <w:r>
        <w:rPr/>
        <w:t>art.</w:t>
      </w:r>
      <w:r>
        <w:rPr>
          <w:spacing w:val="-1"/>
        </w:rPr>
        <w:t> </w:t>
      </w:r>
      <w:r>
        <w:rPr/>
        <w:t>13,</w:t>
      </w:r>
      <w:r>
        <w:rPr>
          <w:spacing w:val="-3"/>
        </w:rPr>
        <w:t> </w:t>
      </w:r>
      <w:r>
        <w:rPr/>
        <w:t>§</w:t>
      </w:r>
      <w:r>
        <w:rPr>
          <w:spacing w:val="-1"/>
        </w:rPr>
        <w:t> </w:t>
      </w:r>
      <w:r>
        <w:rPr/>
        <w:t>4º;</w:t>
      </w:r>
      <w:r>
        <w:rPr>
          <w:spacing w:val="-3"/>
        </w:rPr>
        <w:t> </w:t>
      </w:r>
      <w:r>
        <w:rPr/>
        <w:t>art.</w:t>
      </w:r>
      <w:r>
        <w:rPr>
          <w:spacing w:val="-3"/>
        </w:rPr>
        <w:t> </w:t>
      </w:r>
      <w:r>
        <w:rPr/>
        <w:t>17</w:t>
      </w:r>
      <w:r>
        <w:rPr>
          <w:spacing w:val="-2"/>
        </w:rPr>
        <w:t> </w:t>
      </w:r>
      <w:r>
        <w:rPr/>
        <w:t>e</w:t>
      </w:r>
      <w:r>
        <w:rPr>
          <w:spacing w:val="-1"/>
        </w:rPr>
        <w:t> </w:t>
      </w:r>
      <w:r>
        <w:rPr/>
        <w:t>art.</w:t>
      </w:r>
      <w:r>
        <w:rPr>
          <w:spacing w:val="-1"/>
        </w:rPr>
        <w:t> </w:t>
      </w:r>
      <w:r>
        <w:rPr/>
        <w:t>33,</w:t>
      </w:r>
      <w:r>
        <w:rPr>
          <w:spacing w:val="-3"/>
        </w:rPr>
        <w:t> </w:t>
      </w:r>
      <w:r>
        <w:rPr/>
        <w:t>IV,</w:t>
      </w:r>
      <w:r>
        <w:rPr>
          <w:spacing w:val="-3"/>
        </w:rPr>
        <w:t> </w:t>
      </w:r>
      <w:r>
        <w:rPr/>
        <w:t>da</w:t>
      </w:r>
      <w:r>
        <w:rPr>
          <w:spacing w:val="-2"/>
        </w:rPr>
        <w:t> </w:t>
      </w:r>
      <w:r>
        <w:rPr/>
        <w:t>Lei</w:t>
      </w:r>
      <w:r>
        <w:rPr>
          <w:spacing w:val="-3"/>
        </w:rPr>
        <w:t> </w:t>
      </w:r>
      <w:r>
        <w:rPr/>
        <w:t>8.112/1990,</w:t>
      </w:r>
      <w:r>
        <w:rPr>
          <w:spacing w:val="-1"/>
        </w:rPr>
        <w:t> </w:t>
      </w:r>
      <w:r>
        <w:rPr/>
        <w:t>dispositivos</w:t>
      </w:r>
      <w:r>
        <w:rPr>
          <w:spacing w:val="-1"/>
        </w:rPr>
        <w:t> </w:t>
      </w:r>
      <w:r>
        <w:rPr/>
        <w:t>esses</w:t>
      </w:r>
      <w:r>
        <w:rPr>
          <w:spacing w:val="-1"/>
        </w:rPr>
        <w:t> </w:t>
      </w:r>
      <w:r>
        <w:rPr/>
        <w:t>que foram declarados inconstitucionais em</w:t>
      </w:r>
      <w:r>
        <w:rPr>
          <w:spacing w:val="-1"/>
        </w:rPr>
        <w:t> </w:t>
      </w:r>
      <w:r>
        <w:rPr/>
        <w:t>27/08/1998 (ADI 837/DF, Relator o Ministro Moreira Alves, DJ. De 25.6.1999). Os princípios da boa-fé e da segurança jurídica autorizam a adoção do efeito ex nunc para a decisão que decreta a inconstitucionalidade. Ademais, os prejuízos que adviriam para a Administração seriam maiores que eventuais</w:t>
      </w:r>
      <w:r>
        <w:rPr>
          <w:spacing w:val="40"/>
        </w:rPr>
        <w:t> </w:t>
      </w:r>
      <w:r>
        <w:rPr/>
        <w:t>vantagens do desfazimento dos atos administrativos. Logo, foi fixado o marco legal de 23 de abril de 1993 como data limite</w:t>
      </w:r>
      <w:r>
        <w:rPr>
          <w:spacing w:val="-1"/>
        </w:rPr>
        <w:t> </w:t>
      </w:r>
      <w:r>
        <w:rPr/>
        <w:t>para se questionar a exigência do concurso público para a admissão de pessoal</w:t>
      </w:r>
      <w:r>
        <w:rPr>
          <w:spacing w:val="-14"/>
        </w:rPr>
        <w:t> </w:t>
      </w:r>
      <w:r>
        <w:rPr>
          <w:color w:val="5B2C90"/>
        </w:rPr>
        <w:t>. </w:t>
      </w:r>
      <w:r>
        <w:rPr/>
        <w:t>A Primeira Câmara Virtual do Tribunal de Contas do Estado do Ceará, por unanimidade, resolveu autorizar o registro da nomeação dos servidores, amparado pelos Princípios da Dignidade da Pessoa Humana e da Segurança Jurídica (Teoria do Fato Consumado), por entender que a situação já se encontra sedimentada pelo tempo, com fundamento nos artigos 1º, inciso V da Lei nº 12.509/95 e artigo 5º, inciso II do Regimento Interno deste Tribunal.</w:t>
      </w:r>
    </w:p>
    <w:p>
      <w:pPr>
        <w:pStyle w:val="BodyText"/>
        <w:spacing w:before="53"/>
      </w:pPr>
    </w:p>
    <w:p>
      <w:pPr>
        <w:tabs>
          <w:tab w:pos="9384" w:val="left" w:leader="none"/>
        </w:tabs>
        <w:spacing w:before="0"/>
        <w:ind w:left="16" w:right="0" w:firstLine="0"/>
        <w:jc w:val="both"/>
        <w:rPr>
          <w:sz w:val="18"/>
        </w:rPr>
      </w:pPr>
      <w:r>
        <w:rPr>
          <w:sz w:val="18"/>
        </w:rPr>
        <w:t>Processo</w:t>
      </w:r>
      <w:r>
        <w:rPr>
          <w:spacing w:val="-1"/>
          <w:sz w:val="18"/>
        </w:rPr>
        <w:t> </w:t>
      </w:r>
      <w:r>
        <w:rPr>
          <w:sz w:val="18"/>
        </w:rPr>
        <w:t>nº:</w:t>
      </w:r>
      <w:r>
        <w:rPr>
          <w:spacing w:val="-3"/>
          <w:sz w:val="18"/>
        </w:rPr>
        <w:t> </w:t>
      </w:r>
      <w:r>
        <w:rPr>
          <w:sz w:val="18"/>
        </w:rPr>
        <w:t>11814/2019-2</w:t>
      </w:r>
      <w:r>
        <w:rPr>
          <w:spacing w:val="70"/>
          <w:w w:val="150"/>
          <w:sz w:val="18"/>
        </w:rPr>
        <w:t>  </w:t>
      </w:r>
      <w:r>
        <w:rPr>
          <w:sz w:val="18"/>
        </w:rPr>
        <w:t>Relator(a):</w:t>
      </w:r>
      <w:r>
        <w:rPr>
          <w:spacing w:val="-1"/>
          <w:sz w:val="18"/>
        </w:rPr>
        <w:t> </w:t>
      </w:r>
      <w:r>
        <w:rPr>
          <w:sz w:val="18"/>
        </w:rPr>
        <w:t>Cons.</w:t>
      </w:r>
      <w:r>
        <w:rPr>
          <w:spacing w:val="-3"/>
          <w:sz w:val="18"/>
        </w:rPr>
        <w:t> </w:t>
      </w:r>
      <w:r>
        <w:rPr>
          <w:sz w:val="18"/>
        </w:rPr>
        <w:t>Ernesto</w:t>
      </w:r>
      <w:r>
        <w:rPr>
          <w:spacing w:val="-2"/>
          <w:sz w:val="18"/>
        </w:rPr>
        <w:t> </w:t>
      </w:r>
      <w:r>
        <w:rPr>
          <w:sz w:val="18"/>
        </w:rPr>
        <w:t>Saboia</w:t>
      </w:r>
      <w:r>
        <w:rPr>
          <w:spacing w:val="62"/>
          <w:sz w:val="18"/>
        </w:rPr>
        <w:t>   </w:t>
      </w:r>
      <w:r>
        <w:rPr>
          <w:sz w:val="18"/>
        </w:rPr>
        <w:t>Sessão</w:t>
      </w:r>
      <w:r>
        <w:rPr>
          <w:spacing w:val="48"/>
          <w:sz w:val="18"/>
        </w:rPr>
        <w:t> </w:t>
      </w:r>
      <w:r>
        <w:rPr>
          <w:sz w:val="18"/>
        </w:rPr>
        <w:t>de</w:t>
      </w:r>
      <w:r>
        <w:rPr>
          <w:spacing w:val="46"/>
          <w:sz w:val="18"/>
        </w:rPr>
        <w:t> </w:t>
      </w:r>
      <w:r>
        <w:rPr>
          <w:sz w:val="18"/>
        </w:rPr>
        <w:t>21/08/2023</w:t>
      </w:r>
      <w:r>
        <w:rPr>
          <w:spacing w:val="69"/>
          <w:w w:val="150"/>
          <w:sz w:val="18"/>
        </w:rPr>
        <w:t>   </w:t>
      </w:r>
      <w:r>
        <w:rPr>
          <w:sz w:val="18"/>
        </w:rPr>
        <w:t>Ata</w:t>
      </w:r>
      <w:r>
        <w:rPr>
          <w:spacing w:val="1"/>
          <w:sz w:val="18"/>
        </w:rPr>
        <w:t> </w:t>
      </w:r>
      <w:r>
        <w:rPr>
          <w:sz w:val="18"/>
        </w:rPr>
        <w:t>n.°</w:t>
      </w:r>
      <w:r>
        <w:rPr>
          <w:spacing w:val="-3"/>
          <w:sz w:val="18"/>
        </w:rPr>
        <w:t> </w:t>
      </w:r>
      <w:r>
        <w:rPr>
          <w:spacing w:val="-5"/>
          <w:sz w:val="18"/>
        </w:rPr>
        <w:t>172</w:t>
      </w:r>
      <w:r>
        <w:rPr>
          <w:sz w:val="18"/>
        </w:rPr>
        <w:tab/>
        <w:t>DO.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11/09/2023.</w:t>
      </w:r>
    </w:p>
    <w:sectPr>
      <w:footerReference w:type="default" r:id="rId11"/>
      <w:pgSz w:w="11910" w:h="16840"/>
      <w:pgMar w:header="0" w:footer="0" w:top="1840" w:bottom="0" w:left="566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506944">
          <wp:simplePos x="0" y="0"/>
          <wp:positionH relativeFrom="page">
            <wp:posOffset>3810</wp:posOffset>
          </wp:positionH>
          <wp:positionV relativeFrom="page">
            <wp:posOffset>10094739</wp:posOffset>
          </wp:positionV>
          <wp:extent cx="7553959" cy="546100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53959" cy="546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16" w:right="163"/>
      <w:jc w:val="both"/>
      <w:outlineLvl w:val="1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hyperlink" Target="http://intranet.tce.ce.gov.br/component/jdownloads/finish/1282/10756?Itemid=0" TargetMode="External"/><Relationship Id="rId11" Type="http://schemas.openxmlformats.org/officeDocument/2006/relationships/footer" Target="footer2.xml"/><Relationship Id="rId12" Type="http://schemas.openxmlformats.org/officeDocument/2006/relationships/image" Target="media/image6.png"/><Relationship Id="rId13" Type="http://schemas.openxmlformats.org/officeDocument/2006/relationships/image" Target="media/image1.png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2025-10-06T13:50:02Z</dcterms:created>
  <dcterms:modified xsi:type="dcterms:W3CDTF">2025-10-06T13:50:02Z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2023-10-16T00:00:00Z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6.0</vt:lpwstr>
  </property>
  <property fmtid="{D5CDD505-2E9C-101B-9397-08002B2CF9AE}" pid="5" name="LastSaved">
    <vt:filetime>2023-10-16T00:00:00Z</vt:filetime>
  </property>
</Properties>
</file>