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635</wp:posOffset>
                </wp:positionH>
                <wp:positionV relativeFrom="page">
                  <wp:posOffset>9</wp:posOffset>
                </wp:positionV>
                <wp:extent cx="7559040" cy="16249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624965"/>
                          <a:chExt cx="7559040" cy="162496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60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70451" y="1471327"/>
                            <a:ext cx="173418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(CE),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5pt;margin-top:.000771pt;width:595.2pt;height:127.95pt;mso-position-horizontal-relative:page;mso-position-vertical-relative:page;z-index:15730176" id="docshapegroup1" coordorigin="1,0" coordsize="11904,2559">
                <v:shape style="position:absolute;left:1;top:0;width:11904;height:2535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11;top:2317;width:2731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(CE),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2024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7"/>
        <w:rPr>
          <w:rFonts w:ascii="Times New Roman"/>
        </w:rPr>
      </w:pPr>
    </w:p>
    <w:p>
      <w:pPr>
        <w:pStyle w:val="BodyText"/>
        <w:ind w:left="26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676390" cy="1742439"/>
                <wp:effectExtent l="0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6390" cy="1742439"/>
                          <a:chExt cx="6676390" cy="17424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390" cy="174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7639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86"/>
                                <w:ind w:left="172" w:right="155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setembro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2024.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informações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aqui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apresentadas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constituem,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todavia,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7pt;height:137.2pt;mso-position-horizontal-relative:char;mso-position-vertical-relative:line" id="docshapegroup4" coordorigin="0,0" coordsize="10514,2744">
                <v:shape style="position:absolute;left:0;top:0;width:10514;height:2744" type="#_x0000_t75" id="docshape5" stroked="false">
                  <v:imagedata r:id="rId7" o:title=""/>
                </v:shape>
                <v:shape style="position:absolute;left:0;top:0;width:10514;height:2744" type="#_x0000_t202" id="docshape6" filled="false" stroked="false">
                  <v:textbox inset="0,0,0,0">
                    <w:txbxContent>
                      <w:p>
                        <w:pPr>
                          <w:spacing w:line="268" w:lineRule="auto" w:before="186"/>
                          <w:ind w:left="172" w:right="155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setembro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2024.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informações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aqui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apresentadas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constituem,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todavia,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390525</wp:posOffset>
                </wp:positionH>
                <wp:positionV relativeFrom="paragraph">
                  <wp:posOffset>142239</wp:posOffset>
                </wp:positionV>
                <wp:extent cx="6736080" cy="4140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36080" cy="414020"/>
                          <a:chExt cx="6736080" cy="41402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721" cy="41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736080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6087/2023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75pt;margin-top:11.2pt;width:530.4pt;height:32.6pt;mso-position-horizontal-relative:page;mso-position-vertical-relative:paragraph;z-index:-15728128;mso-wrap-distance-left:0;mso-wrap-distance-right:0" id="docshapegroup7" coordorigin="615,224" coordsize="10608,652">
                <v:shape style="position:absolute;left:615;top:224;width:10608;height:652" type="#_x0000_t75" id="docshape8" stroked="false">
                  <v:imagedata r:id="rId8" o:title=""/>
                </v:shape>
                <v:shape style="position:absolute;left:615;top:224;width:10608;height:65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66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6087/2023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rPr>
          <w:rFonts w:ascii="Times New Roman"/>
          <w:sz w:val="24"/>
        </w:rPr>
      </w:pPr>
    </w:p>
    <w:p>
      <w:pPr>
        <w:pStyle w:val="Heading1"/>
      </w:pPr>
      <w:r>
        <w:rPr/>
        <w:t>CONSULTA. EXECUÇÃO ORÇAMENTÁRIA. ADMINISTRAÇÃO FINANCEIRA E CONTROLE. SOFTWARE. RESPONSABILIDADE GERENCIAMENTO. PAGAMENTO DAS DESPESAS. PODER EXECUTIVO. PACTUAÇÃO DE RATEIO.</w:t>
      </w:r>
    </w:p>
    <w:p>
      <w:pPr>
        <w:pStyle w:val="BodyText"/>
        <w:spacing w:before="229"/>
        <w:ind w:left="157" w:right="27"/>
        <w:jc w:val="both"/>
      </w:pPr>
      <w:r>
        <w:rPr/>
        <w:t>Consulta versa sobre o pagamento do </w:t>
      </w:r>
      <w:r>
        <w:rPr>
          <w:rFonts w:ascii="Arial" w:hAnsi="Arial"/>
          <w:i/>
        </w:rPr>
        <w:t>software </w:t>
      </w:r>
      <w:r>
        <w:rPr/>
        <w:t>ou do sistema competente para integrar a base de dados compartilhada e integrada do Sistema Único e Integrado de Execução Orçamentária, Administração Financeira e Controle – SIAFIC. O Tribunal, em sessão virtual, por unanimidade dos votos, conheceu o presente processo de Consulta, e, no mérito, respondeu nos seguintes termos: O Poder Executivo é o ente responsável pela manutenção, pelo gerenciamento, pela atualização, pela contratação ou pelo desenvolvimento, pela definição das regras contábeis e das políticas de acesso e segurança da informação; ao passo que, as despesas podem recair sobre o Poder Executivo integralmente ou de modo rateado, na forma do art. 1º, §§ 1º e 3º, do Decreto Federal nº 10.540/2020. A pactuação de rateio deve, idealmente, ocorrer mediante diálogo entre os Poderes, de sorte que o eventual ressarcimento seguirá os parâmetros fixados, seja em lei local específica autorizadora do rateio, seja em ato pactuado entre os Chefes de Poderes e Órgãos ou outra</w:t>
      </w:r>
      <w:r>
        <w:rPr>
          <w:spacing w:val="40"/>
        </w:rPr>
        <w:t> </w:t>
      </w:r>
      <w:r>
        <w:rPr/>
        <w:t>forma legalmente lícita.</w:t>
      </w:r>
    </w:p>
    <w:p>
      <w:pPr>
        <w:pStyle w:val="BodyText"/>
        <w:spacing w:before="47"/>
      </w:pPr>
    </w:p>
    <w:p>
      <w:pPr>
        <w:spacing w:before="0"/>
        <w:ind w:left="157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05829/2023-6.</w:t>
      </w:r>
      <w:r>
        <w:rPr>
          <w:spacing w:val="79"/>
          <w:sz w:val="18"/>
        </w:rPr>
        <w:t>   </w:t>
      </w:r>
      <w:r>
        <w:rPr>
          <w:sz w:val="18"/>
        </w:rPr>
        <w:t>Relator:</w:t>
      </w:r>
      <w:r>
        <w:rPr>
          <w:spacing w:val="-2"/>
          <w:sz w:val="18"/>
        </w:rPr>
        <w:t> </w:t>
      </w:r>
      <w:r>
        <w:rPr>
          <w:sz w:val="18"/>
        </w:rPr>
        <w:t>Cons.</w:t>
      </w:r>
      <w:r>
        <w:rPr>
          <w:spacing w:val="-2"/>
          <w:sz w:val="18"/>
        </w:rPr>
        <w:t> </w:t>
      </w:r>
      <w:r>
        <w:rPr>
          <w:sz w:val="18"/>
        </w:rPr>
        <w:t>Ernesto</w:t>
      </w:r>
      <w:r>
        <w:rPr>
          <w:spacing w:val="-3"/>
          <w:sz w:val="18"/>
        </w:rPr>
        <w:t> </w:t>
      </w:r>
      <w:r>
        <w:rPr>
          <w:sz w:val="18"/>
        </w:rPr>
        <w:t>Saboia.</w:t>
      </w:r>
      <w:r>
        <w:rPr>
          <w:spacing w:val="56"/>
          <w:w w:val="150"/>
          <w:sz w:val="18"/>
        </w:rPr>
        <w:t>   </w:t>
      </w:r>
      <w:r>
        <w:rPr>
          <w:sz w:val="18"/>
        </w:rPr>
        <w:t>Sessão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02/09/2024.</w:t>
      </w:r>
      <w:r>
        <w:rPr>
          <w:spacing w:val="79"/>
          <w:sz w:val="18"/>
        </w:rPr>
        <w:t>   </w:t>
      </w:r>
      <w:r>
        <w:rPr>
          <w:sz w:val="18"/>
        </w:rPr>
        <w:t>Ata nº</w:t>
      </w:r>
      <w:r>
        <w:rPr>
          <w:spacing w:val="-2"/>
          <w:sz w:val="18"/>
        </w:rPr>
        <w:t> </w:t>
      </w:r>
      <w:r>
        <w:rPr>
          <w:sz w:val="18"/>
        </w:rPr>
        <w:t>210/2024.</w:t>
      </w:r>
      <w:r>
        <w:rPr>
          <w:spacing w:val="72"/>
          <w:w w:val="150"/>
          <w:sz w:val="18"/>
        </w:rPr>
        <w:t>  </w:t>
      </w:r>
      <w:r>
        <w:rPr>
          <w:sz w:val="18"/>
        </w:rPr>
        <w:t>DO: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25/09/2024.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349250</wp:posOffset>
                </wp:positionH>
                <wp:positionV relativeFrom="paragraph">
                  <wp:posOffset>97362</wp:posOffset>
                </wp:positionV>
                <wp:extent cx="6824345" cy="4540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4345" cy="454025"/>
                          <a:chExt cx="6824345" cy="4540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45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2434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6395/2024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5pt;margin-top:7.666308pt;width:537.35pt;height:35.75pt;mso-position-horizontal-relative:page;mso-position-vertical-relative:paragraph;z-index:-15727616;mso-wrap-distance-left:0;mso-wrap-distance-right:0" id="docshapegroup10" coordorigin="550,153" coordsize="10747,715">
                <v:shape style="position:absolute;left:550;top:153;width:10747;height:715" type="#_x0000_t75" id="docshape11" stroked="false">
                  <v:imagedata r:id="rId9" o:title=""/>
                </v:shape>
                <v:shape style="position:absolute;left:550;top:153;width:10747;height:715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5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6395/2024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8"/>
        <w:rPr>
          <w:sz w:val="24"/>
        </w:rPr>
      </w:pPr>
    </w:p>
    <w:p>
      <w:pPr>
        <w:pStyle w:val="Heading1"/>
        <w:ind w:right="29"/>
      </w:pPr>
      <w:r>
        <w:rPr/>
        <w:t>CONSULTA. AUSÊNCIA DE PARECER JURÍDICO. SUPERAÇÃO EXCEPCIONAL. CONSULTA CONHECIDA. VEREADOR. SUBSÍDIO. REVISÃO GERAL DE REMUNERAÇÃO. PRINCÍPIO DA LEGISLATURA. IMPOSSIBILIDADE.</w:t>
      </w:r>
    </w:p>
    <w:p>
      <w:pPr>
        <w:pStyle w:val="BodyText"/>
        <w:spacing w:before="229"/>
        <w:ind w:left="157" w:right="27"/>
        <w:jc w:val="both"/>
      </w:pPr>
      <w:r>
        <w:rPr/>
        <w:t>Excepcionalmente, nos feitos iniciados no extinto Tribunal de Contas dos Municípios, concluída a instrução processual sem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tenha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aberta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oportunidade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fosse</w:t>
      </w:r>
      <w:r>
        <w:rPr>
          <w:spacing w:val="-3"/>
        </w:rPr>
        <w:t> </w:t>
      </w:r>
      <w:r>
        <w:rPr/>
        <w:t>suprida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ausência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parecer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órgão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técnica ou jurídica da autoridade consulente, a consulta poderá ser conhecida. A jurisprudência do Tribunal de Contas do</w:t>
      </w:r>
      <w:r>
        <w:rPr>
          <w:spacing w:val="40"/>
        </w:rPr>
        <w:t> </w:t>
      </w:r>
      <w:r>
        <w:rPr/>
        <w:t>Estado sedimentou-se no</w:t>
      </w:r>
      <w:r>
        <w:rPr>
          <w:spacing w:val="-2"/>
        </w:rPr>
        <w:t> </w:t>
      </w:r>
      <w:r>
        <w:rPr/>
        <w:t>sentido de</w:t>
      </w:r>
      <w:r>
        <w:rPr>
          <w:spacing w:val="-2"/>
        </w:rPr>
        <w:t> </w:t>
      </w:r>
      <w:r>
        <w:rPr/>
        <w:t>não poder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estendida aos vereadores a</w:t>
      </w:r>
      <w:r>
        <w:rPr>
          <w:spacing w:val="-2"/>
        </w:rPr>
        <w:t> </w:t>
      </w:r>
      <w:r>
        <w:rPr/>
        <w:t>revisão geral</w:t>
      </w:r>
      <w:r>
        <w:rPr>
          <w:spacing w:val="-1"/>
        </w:rPr>
        <w:t> </w:t>
      </w:r>
      <w:r>
        <w:rPr/>
        <w:t>anual</w:t>
      </w:r>
      <w:r>
        <w:rPr>
          <w:spacing w:val="-1"/>
        </w:rPr>
        <w:t> </w:t>
      </w:r>
      <w:r>
        <w:rPr/>
        <w:t>da remuneração</w:t>
      </w:r>
      <w:r>
        <w:rPr>
          <w:spacing w:val="-2"/>
        </w:rPr>
        <w:t> </w:t>
      </w:r>
      <w:r>
        <w:rPr/>
        <w:t>dos servidores públicos prevista no inciso X do art. 37 da Constituição Federal, por ser incompatível com a “regra da legislatura” do inciso VI do art. 29 da Carta da República.</w:t>
      </w:r>
    </w:p>
    <w:p>
      <w:pPr>
        <w:pStyle w:val="BodyText"/>
        <w:spacing w:before="1"/>
      </w:pPr>
    </w:p>
    <w:p>
      <w:pPr>
        <w:spacing w:before="0"/>
        <w:ind w:left="157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26268/2019-0.</w:t>
      </w:r>
      <w:r>
        <w:rPr>
          <w:spacing w:val="68"/>
          <w:w w:val="150"/>
          <w:sz w:val="18"/>
        </w:rPr>
        <w:t>  </w:t>
      </w:r>
      <w:r>
        <w:rPr>
          <w:sz w:val="18"/>
        </w:rPr>
        <w:t>Relator(a):</w:t>
      </w:r>
      <w:r>
        <w:rPr>
          <w:spacing w:val="-2"/>
          <w:sz w:val="18"/>
        </w:rPr>
        <w:t> </w:t>
      </w:r>
      <w:r>
        <w:rPr>
          <w:sz w:val="18"/>
        </w:rPr>
        <w:t>Cons.</w:t>
      </w:r>
      <w:r>
        <w:rPr>
          <w:spacing w:val="-3"/>
          <w:sz w:val="18"/>
        </w:rPr>
        <w:t> </w:t>
      </w:r>
      <w:r>
        <w:rPr>
          <w:sz w:val="18"/>
        </w:rPr>
        <w:t>Valdomiro Távora.</w:t>
      </w:r>
      <w:r>
        <w:rPr>
          <w:spacing w:val="69"/>
          <w:sz w:val="18"/>
        </w:rPr>
        <w:t>  </w:t>
      </w:r>
      <w:r>
        <w:rPr>
          <w:sz w:val="18"/>
        </w:rPr>
        <w:t>Sessão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16/09/2024.</w:t>
      </w:r>
      <w:r>
        <w:rPr>
          <w:spacing w:val="71"/>
          <w:sz w:val="18"/>
        </w:rPr>
        <w:t>  </w:t>
      </w:r>
      <w:r>
        <w:rPr>
          <w:sz w:val="18"/>
        </w:rPr>
        <w:t>Ata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211/2024.</w:t>
      </w:r>
      <w:r>
        <w:rPr>
          <w:spacing w:val="63"/>
          <w:sz w:val="18"/>
        </w:rPr>
        <w:t>   </w:t>
      </w:r>
      <w:r>
        <w:rPr>
          <w:sz w:val="18"/>
        </w:rPr>
        <w:t>DO: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08/10/2024.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10" w:h="16840"/>
          <w:pgMar w:header="0" w:footer="761" w:top="0" w:bottom="960" w:left="425" w:right="566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pStyle w:val="Heading1"/>
        <w:spacing w:before="0"/>
        <w:ind w:right="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366395</wp:posOffset>
                </wp:positionH>
                <wp:positionV relativeFrom="paragraph">
                  <wp:posOffset>-599875</wp:posOffset>
                </wp:positionV>
                <wp:extent cx="6824345" cy="432434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24345" cy="432434"/>
                          <a:chExt cx="6824345" cy="432434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432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82434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5"/>
                                <w:ind w:left="57" w:right="5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6465/2024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5pt;margin-top:-47.234314pt;width:537.35pt;height:34.050pt;mso-position-horizontal-relative:page;mso-position-vertical-relative:paragraph;z-index:15731200" id="docshapegroup13" coordorigin="577,-945" coordsize="10747,681">
                <v:shape style="position:absolute;left:577;top:-945;width:10747;height:681" type="#_x0000_t75" id="docshape14" stroked="false">
                  <v:imagedata r:id="rId9" o:title=""/>
                </v:shape>
                <v:shape style="position:absolute;left:577;top:-945;width:10747;height:681" type="#_x0000_t202" id="docshape15" filled="false" stroked="false">
                  <v:textbox inset="0,0,0,0">
                    <w:txbxContent>
                      <w:p>
                        <w:pPr>
                          <w:spacing w:before="185"/>
                          <w:ind w:left="57" w:right="54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6465/2024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TOMADA DE CONTAS ESPECIAL. CONTRATO. RESCISÃO CONTRATUAL. RESCISÃO UNILATERAL. RESPONSABILIDADE SIGNATÁRIO. GARANTIA DE EXECUÇÃO DO CONTRATO. SANÇÃO ADMINISTRATIVA. DANO AO ERÁRIO. OMISSÃO NO PODER - DEVER DE APURAÇÃO DE DANO. CONTAS IRREGULARES. MULTA.</w:t>
      </w:r>
    </w:p>
    <w:p>
      <w:pPr>
        <w:pStyle w:val="BodyText"/>
        <w:spacing w:before="230"/>
        <w:ind w:left="157" w:right="31"/>
        <w:jc w:val="both"/>
      </w:pPr>
      <w:r>
        <w:rPr/>
        <w:t>Tomada de Contas Especial a fim de verificar possível dano ao erário decorrente de irregularidades na Rescisão Unilateral de Contrato. O signatário na rescisão unilateral do Contrato deixou de aplicar as sanções administrativas previstas nas cláusulas do contrato, quais sejam: (i) não implementação da sanção administrativa de 10% do valor da proposta do contrato, e (ii) não acionamento da Garantia de Execução do Contrato de 5% do valor da proposta do contrato. O processamento do Termo de Rescisão Unilateral do Contrato, não se revestiu de forma regular, visto que não foi executada/acionada a Garantia de Execução do Contrato, ocasionando dano ao erário. Na ocorrência de rescisão unilateral, inc. I do art. 79, da Lei 8.666/93, a Administração tem o poder-dever de executar/acionar a Garantia de Execução do Contrato, para ressarcir as multas, porventura aplicadas, e as indenizações devidas da não execução do contrato. O Pleno do Tribunal</w:t>
      </w:r>
      <w:r>
        <w:rPr>
          <w:spacing w:val="-1"/>
        </w:rPr>
        <w:t> </w:t>
      </w:r>
      <w:r>
        <w:rPr/>
        <w:t>de Contas do Estado do Ceará, por</w:t>
      </w:r>
      <w:r>
        <w:rPr>
          <w:spacing w:val="-1"/>
        </w:rPr>
        <w:t> </w:t>
      </w:r>
      <w:r>
        <w:rPr/>
        <w:t>unanimidade de votos, julgou as contas Irregulares com aplicação de multa e débito.</w:t>
      </w:r>
    </w:p>
    <w:p>
      <w:pPr>
        <w:pStyle w:val="BodyText"/>
        <w:spacing w:before="46"/>
      </w:pPr>
    </w:p>
    <w:p>
      <w:pPr>
        <w:spacing w:before="0"/>
        <w:ind w:left="15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366395</wp:posOffset>
                </wp:positionH>
                <wp:positionV relativeFrom="paragraph">
                  <wp:posOffset>248680</wp:posOffset>
                </wp:positionV>
                <wp:extent cx="6824345" cy="432434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24345" cy="432434"/>
                          <a:chExt cx="6824345" cy="432434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432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2434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57" w:right="56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6385/2024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5pt;margin-top:19.581118pt;width:537.35pt;height:34.050pt;mso-position-horizontal-relative:page;mso-position-vertical-relative:paragraph;z-index:15730688" id="docshapegroup16" coordorigin="577,392" coordsize="10747,681">
                <v:shape style="position:absolute;left:577;top:391;width:10747;height:681" type="#_x0000_t75" id="docshape17" stroked="false">
                  <v:imagedata r:id="rId9" o:title=""/>
                </v:shape>
                <v:shape style="position:absolute;left:577;top:391;width:10747;height:681" type="#_x0000_t202" id="docshape18" filled="false" stroked="false">
                  <v:textbox inset="0,0,0,0">
                    <w:txbxContent>
                      <w:p>
                        <w:pPr>
                          <w:spacing w:before="229"/>
                          <w:ind w:left="57" w:right="56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6385/2024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10066/2020-6.</w:t>
      </w:r>
      <w:r>
        <w:rPr>
          <w:spacing w:val="70"/>
          <w:sz w:val="18"/>
        </w:rPr>
        <w:t>  </w:t>
      </w:r>
      <w:r>
        <w:rPr>
          <w:sz w:val="18"/>
        </w:rPr>
        <w:t>Relator(a):</w:t>
      </w:r>
      <w:r>
        <w:rPr>
          <w:spacing w:val="3"/>
          <w:sz w:val="18"/>
        </w:rPr>
        <w:t> </w:t>
      </w:r>
      <w:r>
        <w:rPr>
          <w:sz w:val="18"/>
        </w:rPr>
        <w:t>Cons.(a)</w:t>
      </w:r>
      <w:r>
        <w:rPr>
          <w:spacing w:val="-1"/>
          <w:sz w:val="18"/>
        </w:rPr>
        <w:t> </w:t>
      </w:r>
      <w:r>
        <w:rPr>
          <w:sz w:val="18"/>
        </w:rPr>
        <w:t>Soraia</w:t>
      </w:r>
      <w:r>
        <w:rPr>
          <w:spacing w:val="-2"/>
          <w:sz w:val="18"/>
        </w:rPr>
        <w:t> </w:t>
      </w:r>
      <w:r>
        <w:rPr>
          <w:sz w:val="18"/>
        </w:rPr>
        <w:t>Victor.</w:t>
      </w:r>
      <w:r>
        <w:rPr>
          <w:spacing w:val="69"/>
          <w:w w:val="150"/>
          <w:sz w:val="18"/>
        </w:rPr>
        <w:t>  </w:t>
      </w:r>
      <w:r>
        <w:rPr>
          <w:sz w:val="18"/>
        </w:rPr>
        <w:t>Sessão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24/09/2024.</w:t>
      </w:r>
      <w:r>
        <w:rPr>
          <w:spacing w:val="64"/>
          <w:sz w:val="18"/>
        </w:rPr>
        <w:t>  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12/2024.</w:t>
      </w:r>
      <w:r>
        <w:rPr>
          <w:spacing w:val="78"/>
          <w:sz w:val="18"/>
        </w:rPr>
        <w:t>   </w:t>
      </w:r>
      <w:r>
        <w:rPr>
          <w:sz w:val="18"/>
        </w:rPr>
        <w:t>DO:</w:t>
      </w:r>
      <w:r>
        <w:rPr>
          <w:spacing w:val="-2"/>
          <w:sz w:val="18"/>
        </w:rPr>
        <w:t> 09/10/2024.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pStyle w:val="Heading1"/>
        <w:spacing w:before="0"/>
        <w:ind w:right="26"/>
      </w:pPr>
      <w:r>
        <w:rPr/>
        <w:t>REPRESENTAÇÃO. MEDIDA CAUTELAR. RESCISÃO CONTRATUAL. RESCISÃO UNILATERAL. TOMADA DE PREÇOS. EDITAL DE LICITAÇÃO. HABILITAÇÃO. IRREGULARIDADE. PROCEDÊNCIA PARCIAL. REVOGAÇÃO DA MEDIDA CAUTELAR.</w:t>
      </w:r>
      <w:r>
        <w:rPr>
          <w:spacing w:val="40"/>
        </w:rPr>
        <w:t> </w:t>
      </w:r>
      <w:r>
        <w:rPr>
          <w:spacing w:val="-2"/>
        </w:rPr>
        <w:t>MULTA.</w:t>
      </w:r>
    </w:p>
    <w:p>
      <w:pPr>
        <w:pStyle w:val="BodyText"/>
        <w:spacing w:before="230"/>
        <w:ind w:left="157" w:right="34"/>
        <w:jc w:val="both"/>
      </w:pPr>
      <w:r>
        <w:rPr/>
        <w:t>Representação, com pedido cautelar acerca de supostas irregularidades na rescisão unilateral de Contratos, bem como na realização de Tomada de Preços. A administração municipal rescindiu os citados contratos, sem defesa prévia da contratada e sem motivação idônea para fazê-lo. Possíveis irregularidades insanáveis na nova licitação publicada para objeto</w:t>
      </w:r>
      <w:r>
        <w:rPr>
          <w:spacing w:val="-3"/>
        </w:rPr>
        <w:t> </w:t>
      </w:r>
      <w:r>
        <w:rPr/>
        <w:t>idêntico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contratos</w:t>
      </w:r>
      <w:r>
        <w:rPr>
          <w:spacing w:val="-3"/>
        </w:rPr>
        <w:t> </w:t>
      </w:r>
      <w:r>
        <w:rPr/>
        <w:t>rescindidos,</w:t>
      </w:r>
      <w:r>
        <w:rPr>
          <w:spacing w:val="-3"/>
        </w:rPr>
        <w:t> </w:t>
      </w:r>
      <w:r>
        <w:rPr/>
        <w:t>quais</w:t>
      </w:r>
      <w:r>
        <w:rPr>
          <w:spacing w:val="-3"/>
        </w:rPr>
        <w:t> </w:t>
      </w:r>
      <w:r>
        <w:rPr/>
        <w:t>sejam:</w:t>
      </w:r>
      <w:r>
        <w:rPr>
          <w:spacing w:val="-3"/>
        </w:rPr>
        <w:t> </w:t>
      </w:r>
      <w:r>
        <w:rPr/>
        <w:t>Ausência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previsão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empresa</w:t>
      </w:r>
      <w:r>
        <w:rPr>
          <w:spacing w:val="-3"/>
        </w:rPr>
        <w:t> </w:t>
      </w:r>
      <w:r>
        <w:rPr/>
        <w:t>sob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forma de consórcio, e a exigência de CRA sem amparo legal. O Tribunal, por maioria dos votos, julgou como Procedente quanto às falhas suscitadas sobre o Edital da Tomada de Preços e Improcedente quanto à rescisão dos Contratos, com revogação da cautelar, determinação e aplicação de multa.</w:t>
      </w:r>
    </w:p>
    <w:p>
      <w:pPr>
        <w:pStyle w:val="BodyText"/>
        <w:spacing w:before="1"/>
      </w:pPr>
    </w:p>
    <w:p>
      <w:pPr>
        <w:spacing w:before="0"/>
        <w:ind w:left="157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11139/2023-0.</w:t>
      </w:r>
      <w:r>
        <w:rPr>
          <w:spacing w:val="45"/>
          <w:sz w:val="18"/>
        </w:rPr>
        <w:t>  </w:t>
      </w:r>
      <w:r>
        <w:rPr>
          <w:sz w:val="18"/>
        </w:rPr>
        <w:t>Relator(a):</w:t>
      </w:r>
      <w:r>
        <w:rPr>
          <w:spacing w:val="1"/>
          <w:sz w:val="18"/>
        </w:rPr>
        <w:t> </w:t>
      </w:r>
      <w:r>
        <w:rPr>
          <w:sz w:val="18"/>
        </w:rPr>
        <w:t>Cons.</w:t>
      </w:r>
      <w:r>
        <w:rPr>
          <w:spacing w:val="-3"/>
          <w:sz w:val="18"/>
        </w:rPr>
        <w:t> </w:t>
      </w:r>
      <w:r>
        <w:rPr>
          <w:sz w:val="18"/>
        </w:rPr>
        <w:t>Valdomiro</w:t>
      </w:r>
      <w:r>
        <w:rPr>
          <w:spacing w:val="-1"/>
          <w:sz w:val="18"/>
        </w:rPr>
        <w:t> </w:t>
      </w:r>
      <w:r>
        <w:rPr>
          <w:sz w:val="18"/>
        </w:rPr>
        <w:t>Távora.</w:t>
      </w:r>
      <w:r>
        <w:rPr>
          <w:spacing w:val="46"/>
          <w:sz w:val="18"/>
        </w:rPr>
        <w:t>  </w:t>
      </w:r>
      <w:r>
        <w:rPr>
          <w:sz w:val="18"/>
        </w:rPr>
        <w:t>Sessão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16/09/2024.</w:t>
      </w:r>
      <w:r>
        <w:rPr>
          <w:spacing w:val="62"/>
          <w:sz w:val="18"/>
        </w:rPr>
        <w:t>   </w:t>
      </w:r>
      <w:r>
        <w:rPr>
          <w:sz w:val="18"/>
        </w:rPr>
        <w:t>Ata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211/2024.</w:t>
      </w:r>
      <w:r>
        <w:rPr>
          <w:spacing w:val="62"/>
          <w:sz w:val="18"/>
        </w:rPr>
        <w:t>   </w:t>
      </w:r>
      <w:r>
        <w:rPr>
          <w:sz w:val="18"/>
        </w:rPr>
        <w:t>DO: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08/10/2024.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366395</wp:posOffset>
                </wp:positionH>
                <wp:positionV relativeFrom="paragraph">
                  <wp:posOffset>-560644</wp:posOffset>
                </wp:positionV>
                <wp:extent cx="6824345" cy="40767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24345" cy="407670"/>
                          <a:chExt cx="6824345" cy="40767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407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2434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0"/>
                                <w:ind w:left="57" w:right="5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6315/2024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5pt;margin-top:-44.145248pt;width:537.35pt;height:32.1pt;mso-position-horizontal-relative:page;mso-position-vertical-relative:paragraph;z-index:15731712" id="docshapegroup19" coordorigin="577,-883" coordsize="10747,642">
                <v:shape style="position:absolute;left:577;top:-883;width:10747;height:642" type="#_x0000_t75" id="docshape20" stroked="false">
                  <v:imagedata r:id="rId9" o:title=""/>
                </v:shape>
                <v:shape style="position:absolute;left:577;top:-883;width:10747;height:642" type="#_x0000_t202" id="docshape21" filled="false" stroked="false">
                  <v:textbox inset="0,0,0,0">
                    <w:txbxContent>
                      <w:p>
                        <w:pPr>
                          <w:spacing w:before="170"/>
                          <w:ind w:left="57" w:right="54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6315/2024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CONSULTA. SERVIDOR PÚBLICO. CARGO EFETIVO. EXTINÇÃO DE CARGO. ENQUADRAMENTO. TRANSPOSIÇÃO. APROVEITAMENTO. PRINCÍPIO DO CONCURSO PÚBLICO. IMPOSSIBILIDADE.</w:t>
      </w:r>
    </w:p>
    <w:p>
      <w:pPr>
        <w:pStyle w:val="BodyText"/>
        <w:spacing w:before="275"/>
        <w:ind w:left="157" w:right="23"/>
        <w:jc w:val="both"/>
      </w:pPr>
      <w:r>
        <w:rPr/>
        <w:t>Consulta acerca da possibilidade de novo enquadramento de profissional auxiliar de enfermagem para técnico de enfermagem. O Pleno do Tribunal de Contas do Estado do Ceará, por unanimidade, conheceu a Consulta, respondendo nos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termos: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inconstitucional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novo</w:t>
      </w:r>
      <w:r>
        <w:rPr>
          <w:spacing w:val="-1"/>
        </w:rPr>
        <w:t> </w:t>
      </w:r>
      <w:r>
        <w:rPr/>
        <w:t>enquadramento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auxiliares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enfermagem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técnico de</w:t>
      </w:r>
      <w:r>
        <w:rPr>
          <w:spacing w:val="-2"/>
        </w:rPr>
        <w:t> </w:t>
      </w:r>
      <w:r>
        <w:rPr/>
        <w:t>enfermagem;</w:t>
      </w:r>
      <w:r>
        <w:rPr>
          <w:spacing w:val="-4"/>
        </w:rPr>
        <w:t> </w:t>
      </w:r>
      <w:r>
        <w:rPr/>
        <w:t>É</w:t>
      </w:r>
      <w:r>
        <w:rPr>
          <w:spacing w:val="-2"/>
        </w:rPr>
        <w:t> </w:t>
      </w:r>
      <w:r>
        <w:rPr/>
        <w:t>inconstitucional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transposição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servidor</w:t>
      </w:r>
      <w:r>
        <w:rPr>
          <w:spacing w:val="-3"/>
        </w:rPr>
        <w:t> </w:t>
      </w:r>
      <w:r>
        <w:rPr/>
        <w:t>ocupante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extinção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auxiliar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enfermagem 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técnico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enfermagem,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percepção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remuneração</w:t>
      </w:r>
      <w:r>
        <w:rPr>
          <w:spacing w:val="40"/>
        </w:rPr>
        <w:t> </w:t>
      </w:r>
      <w:r>
        <w:rPr/>
        <w:t>deste</w:t>
      </w:r>
      <w:r>
        <w:rPr>
          <w:spacing w:val="68"/>
        </w:rPr>
        <w:t> </w:t>
      </w:r>
      <w:r>
        <w:rPr/>
        <w:t>cargo,</w:t>
      </w:r>
      <w:r>
        <w:rPr>
          <w:spacing w:val="40"/>
        </w:rPr>
        <w:t> </w:t>
      </w:r>
      <w:r>
        <w:rPr/>
        <w:t>ainda</w:t>
      </w:r>
      <w:r>
        <w:rPr>
          <w:spacing w:val="54"/>
        </w:rPr>
        <w:t> </w:t>
      </w:r>
      <w:r>
        <w:rPr/>
        <w:t>que</w:t>
      </w:r>
      <w:r>
        <w:rPr>
          <w:spacing w:val="40"/>
        </w:rPr>
        <w:t> </w:t>
      </w:r>
      <w:r>
        <w:rPr/>
        <w:t>detenha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devida</w:t>
      </w:r>
    </w:p>
    <w:p>
      <w:pPr>
        <w:pStyle w:val="BodyText"/>
        <w:spacing w:after="0"/>
        <w:jc w:val="both"/>
        <w:sectPr>
          <w:pgSz w:w="11910" w:h="16840"/>
          <w:pgMar w:header="0" w:footer="761" w:top="1920" w:bottom="960" w:left="425" w:right="566"/>
        </w:sectPr>
      </w:pPr>
    </w:p>
    <w:p>
      <w:pPr>
        <w:pStyle w:val="BodyText"/>
        <w:spacing w:before="66"/>
        <w:ind w:left="157"/>
      </w:pPr>
      <w:r>
        <w:rPr/>
        <w:t>habilitação</w:t>
      </w:r>
      <w:r>
        <w:rPr>
          <w:spacing w:val="37"/>
        </w:rPr>
        <w:t> </w:t>
      </w:r>
      <w:r>
        <w:rPr/>
        <w:t>na</w:t>
      </w:r>
      <w:r>
        <w:rPr>
          <w:spacing w:val="35"/>
        </w:rPr>
        <w:t> </w:t>
      </w:r>
      <w:r>
        <w:rPr/>
        <w:t>área;</w:t>
      </w:r>
      <w:r>
        <w:rPr>
          <w:spacing w:val="36"/>
        </w:rPr>
        <w:t> </w:t>
      </w:r>
      <w:r>
        <w:rPr/>
        <w:t>É</w:t>
      </w:r>
      <w:r>
        <w:rPr>
          <w:spacing w:val="35"/>
        </w:rPr>
        <w:t> </w:t>
      </w:r>
      <w:r>
        <w:rPr/>
        <w:t>inconstitucional</w:t>
      </w:r>
      <w:r>
        <w:rPr>
          <w:spacing w:val="36"/>
        </w:rPr>
        <w:t> </w:t>
      </w:r>
      <w:r>
        <w:rPr/>
        <w:t>o</w:t>
      </w:r>
      <w:r>
        <w:rPr>
          <w:spacing w:val="35"/>
        </w:rPr>
        <w:t> </w:t>
      </w:r>
      <w:r>
        <w:rPr/>
        <w:t>aproveitamento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servidor</w:t>
      </w:r>
      <w:r>
        <w:rPr>
          <w:spacing w:val="35"/>
        </w:rPr>
        <w:t> </w:t>
      </w:r>
      <w:r>
        <w:rPr/>
        <w:t>ocupante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cargo</w:t>
      </w:r>
      <w:r>
        <w:rPr>
          <w:spacing w:val="37"/>
        </w:rPr>
        <w:t> </w:t>
      </w:r>
      <w:r>
        <w:rPr/>
        <w:t>em</w:t>
      </w:r>
      <w:r>
        <w:rPr>
          <w:spacing w:val="35"/>
        </w:rPr>
        <w:t> </w:t>
      </w:r>
      <w:r>
        <w:rPr/>
        <w:t>extinção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auxiliar</w:t>
      </w:r>
      <w:r>
        <w:rPr>
          <w:spacing w:val="35"/>
        </w:rPr>
        <w:t> </w:t>
      </w:r>
      <w:r>
        <w:rPr/>
        <w:t>de enfermagem para o exercício de funções de técnico de enfermagem, não obstante tenha a devida habilitação na área.</w:t>
      </w:r>
    </w:p>
    <w:p>
      <w:pPr>
        <w:pStyle w:val="BodyText"/>
        <w:spacing w:before="207"/>
      </w:pPr>
    </w:p>
    <w:p>
      <w:pPr>
        <w:tabs>
          <w:tab w:pos="2686" w:val="left" w:leader="none"/>
          <w:tab w:pos="5617" w:val="left" w:leader="none"/>
          <w:tab w:pos="7870" w:val="left" w:leader="none"/>
          <w:tab w:pos="9557" w:val="left" w:leader="none"/>
        </w:tabs>
        <w:spacing w:before="0"/>
        <w:ind w:left="157" w:right="0" w:firstLine="0"/>
        <w:jc w:val="left"/>
        <w:rPr>
          <w:sz w:val="18"/>
        </w:rPr>
      </w:pP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3"/>
          <w:sz w:val="18"/>
        </w:rPr>
        <w:t> </w:t>
      </w:r>
      <w:r>
        <w:rPr>
          <w:sz w:val="18"/>
        </w:rPr>
        <w:t>36020/2022-</w:t>
      </w:r>
      <w:r>
        <w:rPr>
          <w:spacing w:val="-5"/>
          <w:sz w:val="18"/>
        </w:rPr>
        <w:t>5.</w:t>
      </w:r>
      <w:r>
        <w:rPr>
          <w:sz w:val="18"/>
        </w:rPr>
        <w:tab/>
        <w:t>Relator(a):</w:t>
      </w:r>
      <w:r>
        <w:rPr>
          <w:spacing w:val="-3"/>
          <w:sz w:val="18"/>
        </w:rPr>
        <w:t> </w:t>
      </w:r>
      <w:r>
        <w:rPr>
          <w:sz w:val="18"/>
        </w:rPr>
        <w:t>Auditor</w:t>
      </w:r>
      <w:r>
        <w:rPr>
          <w:spacing w:val="-4"/>
          <w:sz w:val="18"/>
        </w:rPr>
        <w:t> </w:t>
      </w:r>
      <w:r>
        <w:rPr>
          <w:sz w:val="18"/>
        </w:rPr>
        <w:t>Itacir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Todero.</w:t>
      </w:r>
      <w:r>
        <w:rPr>
          <w:sz w:val="18"/>
        </w:rPr>
        <w:tab/>
        <w:t>Sessão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16/09/2024.</w:t>
      </w:r>
      <w:r>
        <w:rPr>
          <w:sz w:val="18"/>
        </w:rPr>
        <w:tab/>
        <w:t>Ata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211/2024.</w:t>
      </w:r>
      <w:r>
        <w:rPr>
          <w:sz w:val="18"/>
        </w:rPr>
        <w:tab/>
        <w:t>DO: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08/10/2024.</w:t>
      </w:r>
    </w:p>
    <w:sectPr>
      <w:pgSz w:w="11910" w:h="16840"/>
      <w:pgMar w:header="0" w:footer="761" w:top="1840" w:bottom="96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17779</wp:posOffset>
          </wp:positionH>
          <wp:positionV relativeFrom="page">
            <wp:posOffset>10081904</wp:posOffset>
          </wp:positionV>
          <wp:extent cx="7541259" cy="5822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7" w:right="25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2025-10-06T13:55:58Z</dcterms:created>
  <dcterms:modified xsi:type="dcterms:W3CDTF">2025-10-06T13:55:58Z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2024-10-24T00:00:00Z</vt:filetime>
  </property>
</Properties>
</file>