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r>
        <w:rPr>
          <w:rFonts w:ascii="Times New Roman"/>
        </w:rPr>
        <mc:AlternateContent>
          <mc:Choice Requires="wps">
            <w:drawing>
              <wp:anchor distT="0" distB="0" distL="0" distR="0" allowOverlap="1" layoutInCell="1" locked="0" behindDoc="0" simplePos="0" relativeHeight="15730176">
                <wp:simplePos x="0" y="0"/>
                <wp:positionH relativeFrom="page">
                  <wp:posOffset>635</wp:posOffset>
                </wp:positionH>
                <wp:positionV relativeFrom="page">
                  <wp:posOffset>9</wp:posOffset>
                </wp:positionV>
                <wp:extent cx="7559040" cy="162496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559040" cy="1624965"/>
                          <a:chExt cx="7559040" cy="1624965"/>
                        </a:xfrm>
                      </wpg:grpSpPr>
                      <pic:pic>
                        <pic:nvPicPr>
                          <pic:cNvPr id="3" name="Image 3"/>
                          <pic:cNvPicPr/>
                        </pic:nvPicPr>
                        <pic:blipFill>
                          <a:blip r:embed="rId6" cstate="print"/>
                          <a:stretch>
                            <a:fillRect/>
                          </a:stretch>
                        </pic:blipFill>
                        <pic:spPr>
                          <a:xfrm>
                            <a:off x="0" y="0"/>
                            <a:ext cx="7559040" cy="1609725"/>
                          </a:xfrm>
                          <a:prstGeom prst="rect">
                            <a:avLst/>
                          </a:prstGeom>
                        </pic:spPr>
                      </pic:pic>
                      <wps:wsp>
                        <wps:cNvPr id="4" name="Textbox 4"/>
                        <wps:cNvSpPr txBox="1"/>
                        <wps:spPr>
                          <a:xfrm>
                            <a:off x="4165434" y="1471327"/>
                            <a:ext cx="1800860" cy="153670"/>
                          </a:xfrm>
                          <a:prstGeom prst="rect">
                            <a:avLst/>
                          </a:prstGeom>
                        </wps:spPr>
                        <wps:txbx>
                          <w:txbxContent>
                            <w:p>
                              <w:pPr>
                                <w:spacing w:before="14"/>
                                <w:ind w:left="20" w:right="0" w:firstLine="0"/>
                                <w:jc w:val="left"/>
                                <w:rPr>
                                  <w:rFonts w:ascii="Arial" w:hAnsi="Arial"/>
                                  <w:b/>
                                  <w:i/>
                                  <w:sz w:val="18"/>
                                </w:rPr>
                              </w:pPr>
                              <w:r>
                                <w:rPr>
                                  <w:rFonts w:ascii="Arial" w:hAnsi="Arial"/>
                                  <w:b/>
                                  <w:i/>
                                  <w:sz w:val="18"/>
                                </w:rPr>
                                <w:t>Fortaleza</w:t>
                              </w:r>
                              <w:r>
                                <w:rPr>
                                  <w:rFonts w:ascii="Arial" w:hAnsi="Arial"/>
                                  <w:b/>
                                  <w:i/>
                                  <w:spacing w:val="-4"/>
                                  <w:sz w:val="18"/>
                                </w:rPr>
                                <w:t> </w:t>
                              </w:r>
                              <w:r>
                                <w:rPr>
                                  <w:rFonts w:ascii="Arial" w:hAnsi="Arial"/>
                                  <w:b/>
                                  <w:i/>
                                  <w:sz w:val="18"/>
                                </w:rPr>
                                <w:t>(CE),</w:t>
                              </w:r>
                              <w:r>
                                <w:rPr>
                                  <w:rFonts w:ascii="Arial" w:hAnsi="Arial"/>
                                  <w:b/>
                                  <w:i/>
                                  <w:spacing w:val="-4"/>
                                  <w:sz w:val="18"/>
                                </w:rPr>
                                <w:t> </w:t>
                              </w:r>
                              <w:r>
                                <w:rPr>
                                  <w:rFonts w:ascii="Arial" w:hAnsi="Arial"/>
                                  <w:b/>
                                  <w:i/>
                                  <w:sz w:val="18"/>
                                </w:rPr>
                                <w:t>Ano</w:t>
                              </w:r>
                              <w:r>
                                <w:rPr>
                                  <w:rFonts w:ascii="Arial" w:hAnsi="Arial"/>
                                  <w:b/>
                                  <w:i/>
                                  <w:spacing w:val="-4"/>
                                  <w:sz w:val="18"/>
                                </w:rPr>
                                <w:t> </w:t>
                              </w:r>
                              <w:r>
                                <w:rPr>
                                  <w:rFonts w:ascii="Arial" w:hAnsi="Arial"/>
                                  <w:b/>
                                  <w:i/>
                                  <w:sz w:val="18"/>
                                </w:rPr>
                                <w:t>2024</w:t>
                              </w:r>
                              <w:r>
                                <w:rPr>
                                  <w:rFonts w:ascii="Arial" w:hAnsi="Arial"/>
                                  <w:b/>
                                  <w:i/>
                                  <w:spacing w:val="-4"/>
                                  <w:sz w:val="18"/>
                                </w:rPr>
                                <w:t> </w:t>
                              </w:r>
                              <w:r>
                                <w:rPr>
                                  <w:rFonts w:ascii="Arial" w:hAnsi="Arial"/>
                                  <w:b/>
                                  <w:i/>
                                  <w:sz w:val="18"/>
                                </w:rPr>
                                <w:t>–</w:t>
                              </w:r>
                              <w:r>
                                <w:rPr>
                                  <w:rFonts w:ascii="Arial" w:hAnsi="Arial"/>
                                  <w:b/>
                                  <w:i/>
                                  <w:spacing w:val="-4"/>
                                  <w:sz w:val="18"/>
                                </w:rPr>
                                <w:t> </w:t>
                              </w:r>
                              <w:r>
                                <w:rPr>
                                  <w:rFonts w:ascii="Arial" w:hAnsi="Arial"/>
                                  <w:b/>
                                  <w:i/>
                                  <w:sz w:val="18"/>
                                </w:rPr>
                                <w:t>Nº</w:t>
                              </w:r>
                              <w:r>
                                <w:rPr>
                                  <w:rFonts w:ascii="Arial" w:hAnsi="Arial"/>
                                  <w:b/>
                                  <w:i/>
                                  <w:spacing w:val="2"/>
                                  <w:sz w:val="18"/>
                                </w:rPr>
                                <w:t> </w:t>
                              </w:r>
                              <w:r>
                                <w:rPr>
                                  <w:rFonts w:ascii="Arial" w:hAnsi="Arial"/>
                                  <w:b/>
                                  <w:i/>
                                  <w:spacing w:val="-5"/>
                                  <w:sz w:val="18"/>
                                </w:rPr>
                                <w:t>11</w:t>
                              </w:r>
                            </w:p>
                          </w:txbxContent>
                        </wps:txbx>
                        <wps:bodyPr wrap="square" lIns="0" tIns="0" rIns="0" bIns="0" rtlCol="0">
                          <a:noAutofit/>
                        </wps:bodyPr>
                      </wps:wsp>
                    </wpg:wgp>
                  </a:graphicData>
                </a:graphic>
              </wp:anchor>
            </w:drawing>
          </mc:Choice>
          <mc:Fallback>
            <w:pict>
              <v:group style="position:absolute;margin-left:.05pt;margin-top:.000771pt;width:595.2pt;height:127.95pt;mso-position-horizontal-relative:page;mso-position-vertical-relative:page;z-index:15730176" id="docshapegroup1" coordorigin="1,0" coordsize="11904,2559">
                <v:shape style="position:absolute;left:1;top:0;width:11904;height:2535" type="#_x0000_t75" id="docshape2" stroked="false">
                  <v:imagedata r:id="rId6" o:title=""/>
                </v:shape>
                <v:shapetype id="_x0000_t202" o:spt="202" coordsize="21600,21600" path="m,l,21600r21600,l21600,xe">
                  <v:stroke joinstyle="miter"/>
                  <v:path gradientshapeok="t" o:connecttype="rect"/>
                </v:shapetype>
                <v:shape style="position:absolute;left:6560;top:2317;width:2836;height:242" type="#_x0000_t202" id="docshape3" filled="false" stroked="false">
                  <v:textbox inset="0,0,0,0">
                    <w:txbxContent>
                      <w:p>
                        <w:pPr>
                          <w:spacing w:before="14"/>
                          <w:ind w:left="20" w:right="0" w:firstLine="0"/>
                          <w:jc w:val="left"/>
                          <w:rPr>
                            <w:rFonts w:ascii="Arial" w:hAnsi="Arial"/>
                            <w:b/>
                            <w:i/>
                            <w:sz w:val="18"/>
                          </w:rPr>
                        </w:pPr>
                        <w:r>
                          <w:rPr>
                            <w:rFonts w:ascii="Arial" w:hAnsi="Arial"/>
                            <w:b/>
                            <w:i/>
                            <w:sz w:val="18"/>
                          </w:rPr>
                          <w:t>Fortaleza</w:t>
                        </w:r>
                        <w:r>
                          <w:rPr>
                            <w:rFonts w:ascii="Arial" w:hAnsi="Arial"/>
                            <w:b/>
                            <w:i/>
                            <w:spacing w:val="-4"/>
                            <w:sz w:val="18"/>
                          </w:rPr>
                          <w:t> </w:t>
                        </w:r>
                        <w:r>
                          <w:rPr>
                            <w:rFonts w:ascii="Arial" w:hAnsi="Arial"/>
                            <w:b/>
                            <w:i/>
                            <w:sz w:val="18"/>
                          </w:rPr>
                          <w:t>(CE),</w:t>
                        </w:r>
                        <w:r>
                          <w:rPr>
                            <w:rFonts w:ascii="Arial" w:hAnsi="Arial"/>
                            <w:b/>
                            <w:i/>
                            <w:spacing w:val="-4"/>
                            <w:sz w:val="18"/>
                          </w:rPr>
                          <w:t> </w:t>
                        </w:r>
                        <w:r>
                          <w:rPr>
                            <w:rFonts w:ascii="Arial" w:hAnsi="Arial"/>
                            <w:b/>
                            <w:i/>
                            <w:sz w:val="18"/>
                          </w:rPr>
                          <w:t>Ano</w:t>
                        </w:r>
                        <w:r>
                          <w:rPr>
                            <w:rFonts w:ascii="Arial" w:hAnsi="Arial"/>
                            <w:b/>
                            <w:i/>
                            <w:spacing w:val="-4"/>
                            <w:sz w:val="18"/>
                          </w:rPr>
                          <w:t> </w:t>
                        </w:r>
                        <w:r>
                          <w:rPr>
                            <w:rFonts w:ascii="Arial" w:hAnsi="Arial"/>
                            <w:b/>
                            <w:i/>
                            <w:sz w:val="18"/>
                          </w:rPr>
                          <w:t>2024</w:t>
                        </w:r>
                        <w:r>
                          <w:rPr>
                            <w:rFonts w:ascii="Arial" w:hAnsi="Arial"/>
                            <w:b/>
                            <w:i/>
                            <w:spacing w:val="-4"/>
                            <w:sz w:val="18"/>
                          </w:rPr>
                          <w:t> </w:t>
                        </w:r>
                        <w:r>
                          <w:rPr>
                            <w:rFonts w:ascii="Arial" w:hAnsi="Arial"/>
                            <w:b/>
                            <w:i/>
                            <w:sz w:val="18"/>
                          </w:rPr>
                          <w:t>–</w:t>
                        </w:r>
                        <w:r>
                          <w:rPr>
                            <w:rFonts w:ascii="Arial" w:hAnsi="Arial"/>
                            <w:b/>
                            <w:i/>
                            <w:spacing w:val="-4"/>
                            <w:sz w:val="18"/>
                          </w:rPr>
                          <w:t> </w:t>
                        </w:r>
                        <w:r>
                          <w:rPr>
                            <w:rFonts w:ascii="Arial" w:hAnsi="Arial"/>
                            <w:b/>
                            <w:i/>
                            <w:sz w:val="18"/>
                          </w:rPr>
                          <w:t>Nº</w:t>
                        </w:r>
                        <w:r>
                          <w:rPr>
                            <w:rFonts w:ascii="Arial" w:hAnsi="Arial"/>
                            <w:b/>
                            <w:i/>
                            <w:spacing w:val="2"/>
                            <w:sz w:val="18"/>
                          </w:rPr>
                          <w:t> </w:t>
                        </w:r>
                        <w:r>
                          <w:rPr>
                            <w:rFonts w:ascii="Arial" w:hAnsi="Arial"/>
                            <w:b/>
                            <w:i/>
                            <w:spacing w:val="-5"/>
                            <w:sz w:val="18"/>
                          </w:rPr>
                          <w:t>11</w:t>
                        </w:r>
                      </w:p>
                    </w:txbxContent>
                  </v:textbox>
                  <w10:wrap type="none"/>
                </v:shape>
                <w10:wrap type="none"/>
              </v:group>
            </w:pict>
          </mc:Fallback>
        </mc:AlternateConten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7"/>
        <w:rPr>
          <w:rFonts w:ascii="Times New Roman"/>
        </w:rPr>
      </w:pPr>
    </w:p>
    <w:p>
      <w:pPr>
        <w:pStyle w:val="BodyText"/>
        <w:ind w:left="406"/>
        <w:rPr>
          <w:rFonts w:ascii="Times New Roman"/>
        </w:rPr>
      </w:pPr>
      <w:r>
        <w:rPr>
          <w:rFonts w:ascii="Times New Roman"/>
        </w:rPr>
        <mc:AlternateContent>
          <mc:Choice Requires="wps">
            <w:drawing>
              <wp:inline distT="0" distB="0" distL="0" distR="0">
                <wp:extent cx="6676390" cy="1742439"/>
                <wp:effectExtent l="0" t="0" r="0" b="635"/>
                <wp:docPr id="5" name="Group 5"/>
                <wp:cNvGraphicFramePr>
                  <a:graphicFrameLocks/>
                </wp:cNvGraphicFramePr>
                <a:graphic>
                  <a:graphicData uri="http://schemas.microsoft.com/office/word/2010/wordprocessingGroup">
                    <wpg:wgp>
                      <wpg:cNvPr id="5" name="Group 5"/>
                      <wpg:cNvGrpSpPr/>
                      <wpg:grpSpPr>
                        <a:xfrm>
                          <a:off x="0" y="0"/>
                          <a:ext cx="6676390" cy="1742439"/>
                          <a:chExt cx="6676390" cy="1742439"/>
                        </a:xfrm>
                      </wpg:grpSpPr>
                      <pic:pic>
                        <pic:nvPicPr>
                          <pic:cNvPr id="6" name="Image 6"/>
                          <pic:cNvPicPr/>
                        </pic:nvPicPr>
                        <pic:blipFill>
                          <a:blip r:embed="rId7" cstate="print"/>
                          <a:stretch>
                            <a:fillRect/>
                          </a:stretch>
                        </pic:blipFill>
                        <pic:spPr>
                          <a:xfrm>
                            <a:off x="0" y="0"/>
                            <a:ext cx="6676390" cy="1742439"/>
                          </a:xfrm>
                          <a:prstGeom prst="rect">
                            <a:avLst/>
                          </a:prstGeom>
                        </pic:spPr>
                      </pic:pic>
                      <wps:wsp>
                        <wps:cNvPr id="7" name="Textbox 7"/>
                        <wps:cNvSpPr txBox="1"/>
                        <wps:spPr>
                          <a:xfrm>
                            <a:off x="0" y="0"/>
                            <a:ext cx="6676390" cy="1742439"/>
                          </a:xfrm>
                          <a:prstGeom prst="rect">
                            <a:avLst/>
                          </a:prstGeom>
                        </wps:spPr>
                        <wps:txbx>
                          <w:txbxContent>
                            <w:p>
                              <w:pPr>
                                <w:spacing w:line="268" w:lineRule="auto" w:before="186"/>
                                <w:ind w:left="172" w:right="152" w:firstLine="0"/>
                                <w:jc w:val="both"/>
                                <w:rPr>
                                  <w:rFonts w:ascii="Arial" w:hAnsi="Arial"/>
                                  <w:b/>
                                  <w:sz w:val="24"/>
                                </w:rPr>
                              </w:pPr>
                              <w:r>
                                <w:rPr>
                                  <w:rFonts w:ascii="Arial" w:hAnsi="Arial"/>
                                  <w:b/>
                                  <w:sz w:val="24"/>
                                </w:rPr>
                                <w:t>Este Informativo contém informações de decisões proferidas pelos Colegiados do TCE, que receberam indicação de relevância sob o prisma jurisprudencial no período de novembro de 2024. As informações aqui apresentadas não constituem, todavia, o resumo oficial da decisão proferida pelo Tribunal nem representam, necessariamente, o posicionamento prevalente do TCE. O objetivo é facilitar ao interessado o acompanhamento dos acórdãos/resoluções mais importantes do Tribunal. Para aprofundamento, o leitor pode acessar o inteiro teor das deliberações clicando em cima do número do processo.</w:t>
                              </w:r>
                            </w:p>
                          </w:txbxContent>
                        </wps:txbx>
                        <wps:bodyPr wrap="square" lIns="0" tIns="0" rIns="0" bIns="0" rtlCol="0">
                          <a:noAutofit/>
                        </wps:bodyPr>
                      </wps:wsp>
                    </wpg:wgp>
                  </a:graphicData>
                </a:graphic>
              </wp:inline>
            </w:drawing>
          </mc:Choice>
          <mc:Fallback>
            <w:pict>
              <v:group style="width:525.7pt;height:137.2pt;mso-position-horizontal-relative:char;mso-position-vertical-relative:line" id="docshapegroup4" coordorigin="0,0" coordsize="10514,2744">
                <v:shape style="position:absolute;left:0;top:0;width:10514;height:2744" type="#_x0000_t75" id="docshape5" stroked="false">
                  <v:imagedata r:id="rId7" o:title=""/>
                </v:shape>
                <v:shape style="position:absolute;left:0;top:0;width:10514;height:2744" type="#_x0000_t202" id="docshape6" filled="false" stroked="false">
                  <v:textbox inset="0,0,0,0">
                    <w:txbxContent>
                      <w:p>
                        <w:pPr>
                          <w:spacing w:line="268" w:lineRule="auto" w:before="186"/>
                          <w:ind w:left="172" w:right="152" w:firstLine="0"/>
                          <w:jc w:val="both"/>
                          <w:rPr>
                            <w:rFonts w:ascii="Arial" w:hAnsi="Arial"/>
                            <w:b/>
                            <w:sz w:val="24"/>
                          </w:rPr>
                        </w:pPr>
                        <w:r>
                          <w:rPr>
                            <w:rFonts w:ascii="Arial" w:hAnsi="Arial"/>
                            <w:b/>
                            <w:sz w:val="24"/>
                          </w:rPr>
                          <w:t>Este Informativo contém informações de decisões proferidas pelos Colegiados do TCE, que receberam indicação de relevância sob o prisma jurisprudencial no período de novembro de 2024. As informações aqui apresentadas não constituem, todavia, o resumo oficial da decisão proferida pelo Tribunal nem representam, necessariamente, o posicionamento prevalente do TCE. O objetivo é facilitar ao interessado o acompanhamento dos acórdãos/resoluções mais importantes do Tribunal. Para aprofundamento, o leitor pode acessar o inteiro teor das deliberações clicando em cima do número do processo.</w:t>
                        </w:r>
                      </w:p>
                    </w:txbxContent>
                  </v:textbox>
                  <w10:wrap type="none"/>
                </v:shape>
              </v:group>
            </w:pict>
          </mc:Fallback>
        </mc:AlternateContent>
      </w:r>
      <w:r>
        <w:rPr>
          <w:rFonts w:ascii="Times New Roman"/>
        </w:rPr>
      </w:r>
    </w:p>
    <w:p>
      <w:pPr>
        <w:pStyle w:val="BodyText"/>
        <w:spacing w:before="4"/>
        <w:rPr>
          <w:rFonts w:ascii="Times New Roman"/>
          <w:sz w:val="17"/>
        </w:rPr>
      </w:pPr>
      <w:r>
        <w:rPr>
          <w:rFonts w:ascii="Times New Roman"/>
          <w:sz w:val="17"/>
        </w:rPr>
        <mc:AlternateContent>
          <mc:Choice Requires="wps">
            <w:drawing>
              <wp:anchor distT="0" distB="0" distL="0" distR="0" allowOverlap="1" layoutInCell="1" locked="0" behindDoc="1" simplePos="0" relativeHeight="487588352">
                <wp:simplePos x="0" y="0"/>
                <wp:positionH relativeFrom="page">
                  <wp:posOffset>390525</wp:posOffset>
                </wp:positionH>
                <wp:positionV relativeFrom="paragraph">
                  <wp:posOffset>142239</wp:posOffset>
                </wp:positionV>
                <wp:extent cx="6736080" cy="414020"/>
                <wp:effectExtent l="0" t="0" r="0" b="0"/>
                <wp:wrapTopAndBottom/>
                <wp:docPr id="8" name="Group 8"/>
                <wp:cNvGraphicFramePr>
                  <a:graphicFrameLocks/>
                </wp:cNvGraphicFramePr>
                <a:graphic>
                  <a:graphicData uri="http://schemas.microsoft.com/office/word/2010/wordprocessingGroup">
                    <wpg:wgp>
                      <wpg:cNvPr id="8" name="Group 8"/>
                      <wpg:cNvGrpSpPr/>
                      <wpg:grpSpPr>
                        <a:xfrm>
                          <a:off x="0" y="0"/>
                          <a:ext cx="6736080" cy="414020"/>
                          <a:chExt cx="6736080" cy="414020"/>
                        </a:xfrm>
                      </wpg:grpSpPr>
                      <pic:pic>
                        <pic:nvPicPr>
                          <pic:cNvPr id="9" name="Image 9"/>
                          <pic:cNvPicPr/>
                        </pic:nvPicPr>
                        <pic:blipFill>
                          <a:blip r:embed="rId8" cstate="print"/>
                          <a:stretch>
                            <a:fillRect/>
                          </a:stretch>
                        </pic:blipFill>
                        <pic:spPr>
                          <a:xfrm>
                            <a:off x="0" y="0"/>
                            <a:ext cx="6735721" cy="414020"/>
                          </a:xfrm>
                          <a:prstGeom prst="rect">
                            <a:avLst/>
                          </a:prstGeom>
                        </pic:spPr>
                      </pic:pic>
                      <wps:wsp>
                        <wps:cNvPr id="10" name="Textbox 10"/>
                        <wps:cNvSpPr txBox="1"/>
                        <wps:spPr>
                          <a:xfrm>
                            <a:off x="0" y="0"/>
                            <a:ext cx="6736080" cy="414020"/>
                          </a:xfrm>
                          <a:prstGeom prst="rect">
                            <a:avLst/>
                          </a:prstGeom>
                        </wps:spPr>
                        <wps:txbx>
                          <w:txbxContent>
                            <w:p>
                              <w:pPr>
                                <w:spacing w:line="240" w:lineRule="auto" w:before="11"/>
                                <w:rPr>
                                  <w:rFonts w:ascii="Times New Roman"/>
                                  <w:sz w:val="22"/>
                                </w:rPr>
                              </w:pPr>
                            </w:p>
                            <w:p>
                              <w:pPr>
                                <w:spacing w:before="0"/>
                                <w:ind w:left="66"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8601/2024</w:t>
                              </w:r>
                            </w:p>
                          </w:txbxContent>
                        </wps:txbx>
                        <wps:bodyPr wrap="square" lIns="0" tIns="0" rIns="0" bIns="0" rtlCol="0">
                          <a:noAutofit/>
                        </wps:bodyPr>
                      </wps:wsp>
                    </wpg:wgp>
                  </a:graphicData>
                </a:graphic>
              </wp:anchor>
            </w:drawing>
          </mc:Choice>
          <mc:Fallback>
            <w:pict>
              <v:group style="position:absolute;margin-left:30.75pt;margin-top:11.2pt;width:530.4pt;height:32.6pt;mso-position-horizontal-relative:page;mso-position-vertical-relative:paragraph;z-index:-15728128;mso-wrap-distance-left:0;mso-wrap-distance-right:0" id="docshapegroup7" coordorigin="615,224" coordsize="10608,652">
                <v:shape style="position:absolute;left:615;top:224;width:10608;height:652" type="#_x0000_t75" id="docshape8" stroked="false">
                  <v:imagedata r:id="rId8" o:title=""/>
                </v:shape>
                <v:shape style="position:absolute;left:615;top:224;width:10608;height:652" type="#_x0000_t202" id="docshape9" filled="false" stroked="false">
                  <v:textbox inset="0,0,0,0">
                    <w:txbxContent>
                      <w:p>
                        <w:pPr>
                          <w:spacing w:line="240" w:lineRule="auto" w:before="11"/>
                          <w:rPr>
                            <w:rFonts w:ascii="Times New Roman"/>
                            <w:sz w:val="22"/>
                          </w:rPr>
                        </w:pPr>
                      </w:p>
                      <w:p>
                        <w:pPr>
                          <w:spacing w:before="0"/>
                          <w:ind w:left="66"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8601/2024</w:t>
                        </w:r>
                      </w:p>
                    </w:txbxContent>
                  </v:textbox>
                  <w10:wrap type="none"/>
                </v:shape>
                <w10:wrap type="topAndBottom"/>
              </v:group>
            </w:pict>
          </mc:Fallback>
        </mc:AlternateContent>
      </w:r>
    </w:p>
    <w:p>
      <w:pPr>
        <w:pStyle w:val="BodyText"/>
        <w:spacing w:before="3"/>
        <w:rPr>
          <w:rFonts w:ascii="Times New Roman"/>
          <w:sz w:val="24"/>
        </w:rPr>
      </w:pPr>
    </w:p>
    <w:p>
      <w:pPr>
        <w:pStyle w:val="Heading1"/>
      </w:pPr>
      <w:r>
        <w:rPr/>
        <w:t>CONSULTA. ASSISTENTE LEGISLATIVO. NATUREZA DO CARGO. NÃO CONFIGURAÇÃO DA NATUREZA TÉCNICA DO CARGO.</w:t>
      </w:r>
    </w:p>
    <w:p>
      <w:pPr>
        <w:pStyle w:val="BodyText"/>
        <w:spacing w:before="207"/>
        <w:ind w:left="299" w:right="453"/>
        <w:jc w:val="both"/>
      </w:pPr>
      <w:r>
        <w:rPr/>
        <w:t>Consulta sobre o posicionamento do Tribunal acerca da natureza do cargo de Assistente Legislativo da Câmara Municipal</w:t>
      </w:r>
      <w:r>
        <w:rPr>
          <w:spacing w:val="-1"/>
        </w:rPr>
        <w:t> </w:t>
      </w:r>
      <w:r>
        <w:rPr/>
        <w:t>de Pereiro. O</w:t>
      </w:r>
      <w:r>
        <w:rPr>
          <w:spacing w:val="-2"/>
        </w:rPr>
        <w:t> </w:t>
      </w:r>
      <w:r>
        <w:rPr/>
        <w:t>Pleno Virtual</w:t>
      </w:r>
      <w:r>
        <w:rPr>
          <w:spacing w:val="-1"/>
        </w:rPr>
        <w:t> </w:t>
      </w:r>
      <w:r>
        <w:rPr/>
        <w:t>do Tribunal</w:t>
      </w:r>
      <w:r>
        <w:rPr>
          <w:spacing w:val="-1"/>
        </w:rPr>
        <w:t> </w:t>
      </w:r>
      <w:r>
        <w:rPr/>
        <w:t>de Contas do</w:t>
      </w:r>
      <w:r>
        <w:rPr>
          <w:spacing w:val="-2"/>
        </w:rPr>
        <w:t> </w:t>
      </w:r>
      <w:r>
        <w:rPr/>
        <w:t>Estado do Ceará, por</w:t>
      </w:r>
      <w:r>
        <w:rPr>
          <w:spacing w:val="-1"/>
        </w:rPr>
        <w:t> </w:t>
      </w:r>
      <w:r>
        <w:rPr/>
        <w:t>unanimidade de</w:t>
      </w:r>
      <w:r>
        <w:rPr>
          <w:spacing w:val="-2"/>
        </w:rPr>
        <w:t> </w:t>
      </w:r>
      <w:r>
        <w:rPr/>
        <w:t>votos, conheceu a consulta e no mérito respondeu que as atribuições descritas para o cargo de Assistente Legislativo não caracterizam a sua natureza como técnica, tendo em vista que as atividades desempenhadas são eminentemente burocráticas e prescindem de conhecimento técnico ou formação técnica especializada, consoante previsto na Constituição Federal e nos entendimentos jurisprudenciais do Supremo Tribunal Federal e do Tribunal de Justiça do Estado do Ceará.</w:t>
      </w:r>
    </w:p>
    <w:p>
      <w:pPr>
        <w:spacing w:before="229"/>
        <w:ind w:left="299" w:right="0" w:firstLine="0"/>
        <w:jc w:val="both"/>
        <w:rPr>
          <w:sz w:val="18"/>
        </w:rPr>
      </w:pPr>
      <w:r>
        <w:rPr>
          <w:sz w:val="18"/>
        </w:rPr>
        <w:t>Processo</w:t>
      </w:r>
      <w:r>
        <w:rPr>
          <w:spacing w:val="-4"/>
          <w:sz w:val="18"/>
        </w:rPr>
        <w:t> </w:t>
      </w:r>
      <w:r>
        <w:rPr>
          <w:sz w:val="18"/>
        </w:rPr>
        <w:t>nº</w:t>
      </w:r>
      <w:r>
        <w:rPr>
          <w:spacing w:val="-3"/>
          <w:sz w:val="18"/>
        </w:rPr>
        <w:t> </w:t>
      </w:r>
      <w:r>
        <w:rPr>
          <w:sz w:val="18"/>
        </w:rPr>
        <w:t>15602/2023-6.</w:t>
      </w:r>
      <w:r>
        <w:rPr>
          <w:spacing w:val="44"/>
          <w:sz w:val="18"/>
        </w:rPr>
        <w:t>  </w:t>
      </w:r>
      <w:r>
        <w:rPr>
          <w:sz w:val="18"/>
        </w:rPr>
        <w:t>Relator(a):</w:t>
      </w:r>
      <w:r>
        <w:rPr>
          <w:spacing w:val="-3"/>
          <w:sz w:val="18"/>
        </w:rPr>
        <w:t> </w:t>
      </w:r>
      <w:r>
        <w:rPr>
          <w:sz w:val="18"/>
        </w:rPr>
        <w:t>Cons(a).</w:t>
      </w:r>
      <w:r>
        <w:rPr>
          <w:spacing w:val="-3"/>
          <w:sz w:val="18"/>
        </w:rPr>
        <w:t> </w:t>
      </w:r>
      <w:r>
        <w:rPr>
          <w:sz w:val="18"/>
        </w:rPr>
        <w:t>Edilberto</w:t>
      </w:r>
      <w:r>
        <w:rPr>
          <w:spacing w:val="-2"/>
          <w:sz w:val="18"/>
        </w:rPr>
        <w:t> </w:t>
      </w:r>
      <w:r>
        <w:rPr>
          <w:sz w:val="18"/>
        </w:rPr>
        <w:t>Pontes.</w:t>
      </w:r>
      <w:r>
        <w:rPr>
          <w:spacing w:val="68"/>
          <w:sz w:val="18"/>
        </w:rPr>
        <w:t>  </w:t>
      </w:r>
      <w:r>
        <w:rPr>
          <w:sz w:val="18"/>
        </w:rPr>
        <w:t>Sessão</w:t>
      </w:r>
      <w:r>
        <w:rPr>
          <w:spacing w:val="-2"/>
          <w:sz w:val="18"/>
        </w:rPr>
        <w:t> </w:t>
      </w:r>
      <w:r>
        <w:rPr>
          <w:sz w:val="18"/>
        </w:rPr>
        <w:t>de</w:t>
      </w:r>
      <w:r>
        <w:rPr>
          <w:spacing w:val="-4"/>
          <w:sz w:val="18"/>
        </w:rPr>
        <w:t> </w:t>
      </w:r>
      <w:r>
        <w:rPr>
          <w:sz w:val="18"/>
        </w:rPr>
        <w:t>18/11/2024.</w:t>
      </w:r>
      <w:r>
        <w:rPr>
          <w:spacing w:val="69"/>
          <w:sz w:val="18"/>
        </w:rPr>
        <w:t>  </w:t>
      </w:r>
      <w:r>
        <w:rPr>
          <w:sz w:val="18"/>
        </w:rPr>
        <w:t>Ata</w:t>
      </w:r>
      <w:r>
        <w:rPr>
          <w:spacing w:val="-3"/>
          <w:sz w:val="18"/>
        </w:rPr>
        <w:t> </w:t>
      </w:r>
      <w:r>
        <w:rPr>
          <w:sz w:val="18"/>
        </w:rPr>
        <w:t>n.º</w:t>
      </w:r>
      <w:r>
        <w:rPr>
          <w:spacing w:val="-3"/>
          <w:sz w:val="18"/>
        </w:rPr>
        <w:t> </w:t>
      </w:r>
      <w:r>
        <w:rPr>
          <w:sz w:val="18"/>
        </w:rPr>
        <w:t>218/2024.</w:t>
      </w:r>
      <w:r>
        <w:rPr>
          <w:spacing w:val="45"/>
          <w:sz w:val="18"/>
        </w:rPr>
        <w:t>  </w:t>
      </w:r>
      <w:r>
        <w:rPr>
          <w:sz w:val="18"/>
        </w:rPr>
        <w:t>DO:</w:t>
      </w:r>
      <w:r>
        <w:rPr>
          <w:spacing w:val="-3"/>
          <w:sz w:val="18"/>
        </w:rPr>
        <w:t> </w:t>
      </w:r>
      <w:r>
        <w:rPr>
          <w:spacing w:val="-2"/>
          <w:sz w:val="18"/>
        </w:rPr>
        <w:t>04/12/2024.</w:t>
      </w:r>
    </w:p>
    <w:p>
      <w:pPr>
        <w:pStyle w:val="BodyText"/>
        <w:rPr>
          <w:sz w:val="14"/>
        </w:rPr>
      </w:pPr>
      <w:r>
        <w:rPr>
          <w:sz w:val="14"/>
        </w:rPr>
        <mc:AlternateContent>
          <mc:Choice Requires="wps">
            <w:drawing>
              <wp:anchor distT="0" distB="0" distL="0" distR="0" allowOverlap="1" layoutInCell="1" locked="0" behindDoc="1" simplePos="0" relativeHeight="487588864">
                <wp:simplePos x="0" y="0"/>
                <wp:positionH relativeFrom="page">
                  <wp:posOffset>366395</wp:posOffset>
                </wp:positionH>
                <wp:positionV relativeFrom="paragraph">
                  <wp:posOffset>117605</wp:posOffset>
                </wp:positionV>
                <wp:extent cx="6824345" cy="432434"/>
                <wp:effectExtent l="0" t="0" r="0" b="0"/>
                <wp:wrapTopAndBottom/>
                <wp:docPr id="11" name="Group 11"/>
                <wp:cNvGraphicFramePr>
                  <a:graphicFrameLocks/>
                </wp:cNvGraphicFramePr>
                <a:graphic>
                  <a:graphicData uri="http://schemas.microsoft.com/office/word/2010/wordprocessingGroup">
                    <wpg:wgp>
                      <wpg:cNvPr id="11" name="Group 11"/>
                      <wpg:cNvGrpSpPr/>
                      <wpg:grpSpPr>
                        <a:xfrm>
                          <a:off x="0" y="0"/>
                          <a:ext cx="6824345" cy="432434"/>
                          <a:chExt cx="6824345" cy="432434"/>
                        </a:xfrm>
                      </wpg:grpSpPr>
                      <pic:pic>
                        <pic:nvPicPr>
                          <pic:cNvPr id="12" name="Image 12"/>
                          <pic:cNvPicPr/>
                        </pic:nvPicPr>
                        <pic:blipFill>
                          <a:blip r:embed="rId9" cstate="print"/>
                          <a:stretch>
                            <a:fillRect/>
                          </a:stretch>
                        </pic:blipFill>
                        <pic:spPr>
                          <a:xfrm>
                            <a:off x="0" y="0"/>
                            <a:ext cx="6824345" cy="432435"/>
                          </a:xfrm>
                          <a:prstGeom prst="rect">
                            <a:avLst/>
                          </a:prstGeom>
                        </pic:spPr>
                      </pic:pic>
                      <wps:wsp>
                        <wps:cNvPr id="13" name="Textbox 13"/>
                        <wps:cNvSpPr txBox="1"/>
                        <wps:spPr>
                          <a:xfrm>
                            <a:off x="0" y="0"/>
                            <a:ext cx="6824345" cy="432434"/>
                          </a:xfrm>
                          <a:prstGeom prst="rect">
                            <a:avLst/>
                          </a:prstGeom>
                        </wps:spPr>
                        <wps:txbx>
                          <w:txbxContent>
                            <w:p>
                              <w:pPr>
                                <w:spacing w:before="228"/>
                                <w:ind w:left="57" w:right="54"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8206/2024</w:t>
                              </w:r>
                            </w:p>
                          </w:txbxContent>
                        </wps:txbx>
                        <wps:bodyPr wrap="square" lIns="0" tIns="0" rIns="0" bIns="0" rtlCol="0">
                          <a:noAutofit/>
                        </wps:bodyPr>
                      </wps:wsp>
                    </wpg:wgp>
                  </a:graphicData>
                </a:graphic>
              </wp:anchor>
            </w:drawing>
          </mc:Choice>
          <mc:Fallback>
            <w:pict>
              <v:group style="position:absolute;margin-left:28.85pt;margin-top:9.260254pt;width:537.35pt;height:34.050pt;mso-position-horizontal-relative:page;mso-position-vertical-relative:paragraph;z-index:-15727616;mso-wrap-distance-left:0;mso-wrap-distance-right:0" id="docshapegroup10" coordorigin="577,185" coordsize="10747,681">
                <v:shape style="position:absolute;left:577;top:185;width:10747;height:681" type="#_x0000_t75" id="docshape11" stroked="false">
                  <v:imagedata r:id="rId9" o:title=""/>
                </v:shape>
                <v:shape style="position:absolute;left:577;top:185;width:10747;height:681" type="#_x0000_t202" id="docshape12" filled="false" stroked="false">
                  <v:textbox inset="0,0,0,0">
                    <w:txbxContent>
                      <w:p>
                        <w:pPr>
                          <w:spacing w:before="228"/>
                          <w:ind w:left="57" w:right="54"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8206/2024</w:t>
                        </w:r>
                      </w:p>
                    </w:txbxContent>
                  </v:textbox>
                  <w10:wrap type="none"/>
                </v:shape>
                <w10:wrap type="topAndBottom"/>
              </v:group>
            </w:pict>
          </mc:Fallback>
        </mc:AlternateContent>
      </w:r>
    </w:p>
    <w:p>
      <w:pPr>
        <w:pStyle w:val="Heading1"/>
        <w:spacing w:before="215"/>
        <w:ind w:right="449"/>
      </w:pPr>
      <w:r>
        <w:rPr/>
        <w:t>REPRESENTAÇÃO. REVOGAÇÃO MEDIDA CAUTELAR. PREGÃO ELETRÔNICO. TERCEIRIZAÇÃO DE MÃO DE OBRA. AUXILIAR ADMINISTRATIVO. PISO SALARIAL. REDUÇÃO PROPORCIONAL DE SALÁRIO. CLT. PROCEDÊNCIA PARCIAL. DETERMINAÇÃO.</w:t>
      </w:r>
    </w:p>
    <w:p>
      <w:pPr>
        <w:pStyle w:val="BodyText"/>
        <w:spacing w:before="207"/>
        <w:ind w:left="299" w:right="445"/>
        <w:jc w:val="both"/>
      </w:pPr>
      <w:r>
        <w:rPr/>
        <w:t>Representação, com pedido de cautelar, em face de suposta irregularidade no Pregão Eletrônico, para contratação de mão de obra terceirizada, onde os empregados seriam regidos pela Consolidação das Leis Trabalhistas (CLT). As irregularidades apontadas foram as seguintes: 1) Da impossibilidade de se utilizar a proporcionalidade de salários para as funções especificadas na planilha de preços do edital; 2) Da necessária inclusão de todos os custos inerentes à contratação na planilha de preços – auxílio-funeral, auxílio-creche e vale-transporte; 3)</w:t>
      </w:r>
      <w:r>
        <w:rPr>
          <w:spacing w:val="-1"/>
        </w:rPr>
        <w:t> </w:t>
      </w:r>
      <w:r>
        <w:rPr/>
        <w:t>Da inobservância aos ditames da Instrução Normativa Conjunta de nº 002/2022 – SEPLAG/CGE/SEFAZ; e 4) Da irregularidade na previsão editalícia de repactuação. O Tribunal de Contas do Estado do Ceará, por unanimidade de votos, conheceu da presente Representação, para no mérito, considerá-la Parcialmente Procedente, por considerar lícito o pagamento pela administração pública do piso proporcional ao tempo trabalhado, sob pena de pagamento por serviço não prestado, conforme julgados do Pleno desta Corte de Contas nos Processos nº 16586/2022-0, Resolução nº 4609/2023), 19409/2022-3 (Resolução nº 5489/2023), 20519/2024-7 (Acórdão nº 6084/2024) e 33742/2022-6 (Acórdão 6988/2024). Revogou a medida cautelar em razão da mudança nos seus pressupostos de concessão, em especial à inexistência do perigo da demora; Determinou à Secretaria de Controle Externo deste Tribunal (SECEX) que inclua em seu planejamento estratégico a realização de uma auditoria de conformidade sobre as contratações de mão de obra terceirizada junto ao Estado do Ceará, destinada a verificar se os custos estimados com o pagamento de direitos trabalhistas associados a eventos futuros e incertos estão corretamente dimensionados e quais são os impactos financeiros</w:t>
      </w:r>
      <w:r>
        <w:rPr>
          <w:spacing w:val="31"/>
        </w:rPr>
        <w:t> </w:t>
      </w:r>
      <w:r>
        <w:rPr/>
        <w:t>da</w:t>
      </w:r>
      <w:r>
        <w:rPr>
          <w:spacing w:val="30"/>
        </w:rPr>
        <w:t> </w:t>
      </w:r>
      <w:r>
        <w:rPr/>
        <w:t>gratuidade</w:t>
      </w:r>
      <w:r>
        <w:rPr>
          <w:spacing w:val="32"/>
        </w:rPr>
        <w:t> </w:t>
      </w:r>
      <w:r>
        <w:rPr/>
        <w:t>tarifária</w:t>
      </w:r>
      <w:r>
        <w:rPr>
          <w:spacing w:val="30"/>
        </w:rPr>
        <w:t> </w:t>
      </w:r>
      <w:r>
        <w:rPr/>
        <w:t>do</w:t>
      </w:r>
      <w:r>
        <w:rPr>
          <w:spacing w:val="30"/>
        </w:rPr>
        <w:t> </w:t>
      </w:r>
      <w:r>
        <w:rPr/>
        <w:t>transporte</w:t>
      </w:r>
      <w:r>
        <w:rPr>
          <w:spacing w:val="30"/>
        </w:rPr>
        <w:t> </w:t>
      </w:r>
      <w:r>
        <w:rPr/>
        <w:t>coletivo</w:t>
      </w:r>
      <w:r>
        <w:rPr>
          <w:spacing w:val="30"/>
        </w:rPr>
        <w:t> </w:t>
      </w:r>
      <w:r>
        <w:rPr/>
        <w:t>urbano</w:t>
      </w:r>
      <w:r>
        <w:rPr>
          <w:spacing w:val="30"/>
        </w:rPr>
        <w:t> </w:t>
      </w:r>
      <w:r>
        <w:rPr/>
        <w:t>no</w:t>
      </w:r>
      <w:r>
        <w:rPr>
          <w:spacing w:val="30"/>
        </w:rPr>
        <w:t> </w:t>
      </w:r>
      <w:r>
        <w:rPr/>
        <w:t>provisionamento</w:t>
      </w:r>
      <w:r>
        <w:rPr>
          <w:spacing w:val="30"/>
        </w:rPr>
        <w:t> </w:t>
      </w:r>
      <w:r>
        <w:rPr/>
        <w:t>dos</w:t>
      </w:r>
      <w:r>
        <w:rPr>
          <w:spacing w:val="29"/>
        </w:rPr>
        <w:t> </w:t>
      </w:r>
      <w:r>
        <w:rPr/>
        <w:t>custos</w:t>
      </w:r>
      <w:r>
        <w:rPr>
          <w:spacing w:val="31"/>
        </w:rPr>
        <w:t> </w:t>
      </w:r>
      <w:r>
        <w:rPr/>
        <w:t>com</w:t>
      </w:r>
      <w:r>
        <w:rPr>
          <w:spacing w:val="30"/>
        </w:rPr>
        <w:t> </w:t>
      </w:r>
      <w:r>
        <w:rPr/>
        <w:t>vale-transporte,</w:t>
      </w:r>
    </w:p>
    <w:p>
      <w:pPr>
        <w:pStyle w:val="BodyText"/>
        <w:spacing w:after="0"/>
        <w:jc w:val="both"/>
        <w:sectPr>
          <w:footerReference w:type="default" r:id="rId5"/>
          <w:type w:val="continuous"/>
          <w:pgSz w:w="11910" w:h="16840"/>
          <w:pgMar w:header="0" w:footer="761" w:top="0" w:bottom="960" w:left="283" w:right="141"/>
          <w:pgNumType w:start="1"/>
        </w:sectPr>
      </w:pPr>
    </w:p>
    <w:p>
      <w:pPr>
        <w:pStyle w:val="BodyText"/>
        <w:spacing w:before="66"/>
        <w:ind w:left="299"/>
      </w:pPr>
      <w:r>
        <w:rPr/>
        <w:t>admitindo-se a discricionariedade da SECEX em delimitar o escopo por unidade gestora e/ou por direitos trabalhistas, conforme critério de conveniência e oportunidade.</w:t>
      </w:r>
    </w:p>
    <w:p>
      <w:pPr>
        <w:tabs>
          <w:tab w:pos="7990" w:val="left" w:leader="none"/>
          <w:tab w:pos="9625" w:val="left" w:leader="none"/>
        </w:tabs>
        <w:spacing w:before="207"/>
        <w:ind w:left="299" w:right="0" w:firstLine="0"/>
        <w:jc w:val="left"/>
        <w:rPr>
          <w:sz w:val="18"/>
        </w:rPr>
      </w:pPr>
      <w:r>
        <w:rPr>
          <w:sz w:val="18"/>
        </w:rPr>
        <w:t>Processo</w:t>
      </w:r>
      <w:r>
        <w:rPr>
          <w:spacing w:val="-4"/>
          <w:sz w:val="18"/>
        </w:rPr>
        <w:t> </w:t>
      </w:r>
      <w:r>
        <w:rPr>
          <w:sz w:val="18"/>
        </w:rPr>
        <w:t>n.º</w:t>
      </w:r>
      <w:r>
        <w:rPr>
          <w:spacing w:val="-4"/>
          <w:sz w:val="18"/>
        </w:rPr>
        <w:t> </w:t>
      </w:r>
      <w:r>
        <w:rPr>
          <w:sz w:val="18"/>
        </w:rPr>
        <w:t>32782/2022-2.</w:t>
      </w:r>
      <w:r>
        <w:rPr>
          <w:spacing w:val="43"/>
          <w:sz w:val="18"/>
        </w:rPr>
        <w:t>  </w:t>
      </w:r>
      <w:r>
        <w:rPr>
          <w:sz w:val="18"/>
        </w:rPr>
        <w:t>Relator(a):</w:t>
      </w:r>
      <w:r>
        <w:rPr>
          <w:spacing w:val="-3"/>
          <w:sz w:val="18"/>
        </w:rPr>
        <w:t> </w:t>
      </w:r>
      <w:r>
        <w:rPr>
          <w:sz w:val="18"/>
        </w:rPr>
        <w:t>Cons(a).</w:t>
      </w:r>
      <w:r>
        <w:rPr>
          <w:spacing w:val="1"/>
          <w:sz w:val="18"/>
        </w:rPr>
        <w:t> </w:t>
      </w:r>
      <w:r>
        <w:rPr>
          <w:sz w:val="18"/>
        </w:rPr>
        <w:t>Edilberto</w:t>
      </w:r>
      <w:r>
        <w:rPr>
          <w:spacing w:val="-2"/>
          <w:sz w:val="18"/>
        </w:rPr>
        <w:t> </w:t>
      </w:r>
      <w:r>
        <w:rPr>
          <w:sz w:val="18"/>
        </w:rPr>
        <w:t>Pontes.</w:t>
      </w:r>
      <w:r>
        <w:rPr>
          <w:spacing w:val="43"/>
          <w:sz w:val="18"/>
        </w:rPr>
        <w:t>  </w:t>
      </w:r>
      <w:r>
        <w:rPr>
          <w:sz w:val="18"/>
        </w:rPr>
        <w:t>Sessão</w:t>
      </w:r>
      <w:r>
        <w:rPr>
          <w:spacing w:val="-3"/>
          <w:sz w:val="18"/>
        </w:rPr>
        <w:t> </w:t>
      </w:r>
      <w:r>
        <w:rPr>
          <w:sz w:val="18"/>
        </w:rPr>
        <w:t>de</w:t>
      </w:r>
      <w:r>
        <w:rPr>
          <w:spacing w:val="-5"/>
          <w:sz w:val="18"/>
        </w:rPr>
        <w:t> </w:t>
      </w:r>
      <w:r>
        <w:rPr>
          <w:spacing w:val="-2"/>
          <w:sz w:val="18"/>
        </w:rPr>
        <w:t>25/11/2024.</w:t>
      </w:r>
      <w:r>
        <w:rPr>
          <w:sz w:val="18"/>
        </w:rPr>
        <w:tab/>
        <w:t>Ata</w:t>
      </w:r>
      <w:r>
        <w:rPr>
          <w:spacing w:val="-5"/>
          <w:sz w:val="18"/>
        </w:rPr>
        <w:t> </w:t>
      </w:r>
      <w:r>
        <w:rPr>
          <w:sz w:val="18"/>
        </w:rPr>
        <w:t>n.º</w:t>
      </w:r>
      <w:r>
        <w:rPr>
          <w:spacing w:val="-3"/>
          <w:sz w:val="18"/>
        </w:rPr>
        <w:t> </w:t>
      </w:r>
      <w:r>
        <w:rPr>
          <w:spacing w:val="-2"/>
          <w:sz w:val="18"/>
        </w:rPr>
        <w:t>219/2024.</w:t>
      </w:r>
      <w:r>
        <w:rPr>
          <w:sz w:val="18"/>
        </w:rPr>
        <w:tab/>
        <w:t>DO:</w:t>
      </w:r>
      <w:r>
        <w:rPr>
          <w:spacing w:val="-5"/>
          <w:sz w:val="18"/>
        </w:rPr>
        <w:t> </w:t>
      </w:r>
      <w:r>
        <w:rPr>
          <w:spacing w:val="-2"/>
          <w:sz w:val="18"/>
        </w:rPr>
        <w:t>21/12/2024.</w:t>
      </w:r>
    </w:p>
    <w:p>
      <w:pPr>
        <w:pStyle w:val="BodyText"/>
        <w:spacing w:before="2"/>
        <w:rPr>
          <w:sz w:val="11"/>
        </w:rPr>
      </w:pPr>
      <w:r>
        <w:rPr>
          <w:sz w:val="11"/>
        </w:rPr>
        <mc:AlternateContent>
          <mc:Choice Requires="wps">
            <w:drawing>
              <wp:anchor distT="0" distB="0" distL="0" distR="0" allowOverlap="1" layoutInCell="1" locked="0" behindDoc="1" simplePos="0" relativeHeight="487589888">
                <wp:simplePos x="0" y="0"/>
                <wp:positionH relativeFrom="page">
                  <wp:posOffset>349250</wp:posOffset>
                </wp:positionH>
                <wp:positionV relativeFrom="paragraph">
                  <wp:posOffset>97330</wp:posOffset>
                </wp:positionV>
                <wp:extent cx="6824345" cy="454025"/>
                <wp:effectExtent l="0" t="0" r="0" b="0"/>
                <wp:wrapTopAndBottom/>
                <wp:docPr id="14" name="Group 14"/>
                <wp:cNvGraphicFramePr>
                  <a:graphicFrameLocks/>
                </wp:cNvGraphicFramePr>
                <a:graphic>
                  <a:graphicData uri="http://schemas.microsoft.com/office/word/2010/wordprocessingGroup">
                    <wpg:wgp>
                      <wpg:cNvPr id="14" name="Group 14"/>
                      <wpg:cNvGrpSpPr/>
                      <wpg:grpSpPr>
                        <a:xfrm>
                          <a:off x="0" y="0"/>
                          <a:ext cx="6824345" cy="454025"/>
                          <a:chExt cx="6824345" cy="454025"/>
                        </a:xfrm>
                      </wpg:grpSpPr>
                      <pic:pic>
                        <pic:nvPicPr>
                          <pic:cNvPr id="15" name="Image 15"/>
                          <pic:cNvPicPr/>
                        </pic:nvPicPr>
                        <pic:blipFill>
                          <a:blip r:embed="rId9" cstate="print"/>
                          <a:stretch>
                            <a:fillRect/>
                          </a:stretch>
                        </pic:blipFill>
                        <pic:spPr>
                          <a:xfrm>
                            <a:off x="0" y="0"/>
                            <a:ext cx="6824345" cy="454025"/>
                          </a:xfrm>
                          <a:prstGeom prst="rect">
                            <a:avLst/>
                          </a:prstGeom>
                        </pic:spPr>
                      </pic:pic>
                      <wps:wsp>
                        <wps:cNvPr id="16" name="Textbox 16"/>
                        <wps:cNvSpPr txBox="1"/>
                        <wps:spPr>
                          <a:xfrm>
                            <a:off x="0" y="0"/>
                            <a:ext cx="6824345" cy="454025"/>
                          </a:xfrm>
                          <a:prstGeom prst="rect">
                            <a:avLst/>
                          </a:prstGeom>
                        </wps:spPr>
                        <wps:txbx>
                          <w:txbxContent>
                            <w:p>
                              <w:pPr>
                                <w:spacing w:line="240" w:lineRule="auto" w:before="53"/>
                                <w:rPr>
                                  <w:sz w:val="22"/>
                                </w:rPr>
                              </w:pPr>
                            </w:p>
                            <w:p>
                              <w:pPr>
                                <w:spacing w:before="0"/>
                                <w:ind w:left="57" w:right="0"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1"/>
                                  <w:sz w:val="22"/>
                                </w:rPr>
                                <w:t> </w:t>
                              </w:r>
                              <w:r>
                                <w:rPr>
                                  <w:rFonts w:ascii="Arial" w:hAnsi="Arial"/>
                                  <w:b/>
                                  <w:color w:val="FFFFFF"/>
                                  <w:spacing w:val="-2"/>
                                  <w:sz w:val="22"/>
                                </w:rPr>
                                <w:t>8603/2024</w:t>
                              </w:r>
                            </w:p>
                          </w:txbxContent>
                        </wps:txbx>
                        <wps:bodyPr wrap="square" lIns="0" tIns="0" rIns="0" bIns="0" rtlCol="0">
                          <a:noAutofit/>
                        </wps:bodyPr>
                      </wps:wsp>
                    </wpg:wgp>
                  </a:graphicData>
                </a:graphic>
              </wp:anchor>
            </w:drawing>
          </mc:Choice>
          <mc:Fallback>
            <w:pict>
              <v:group style="position:absolute;margin-left:27.5pt;margin-top:7.663832pt;width:537.35pt;height:35.75pt;mso-position-horizontal-relative:page;mso-position-vertical-relative:paragraph;z-index:-15726592;mso-wrap-distance-left:0;mso-wrap-distance-right:0" id="docshapegroup13" coordorigin="550,153" coordsize="10747,715">
                <v:shape style="position:absolute;left:550;top:153;width:10747;height:715" type="#_x0000_t75" id="docshape14" stroked="false">
                  <v:imagedata r:id="rId9" o:title=""/>
                </v:shape>
                <v:shape style="position:absolute;left:550;top:153;width:10747;height:715" type="#_x0000_t202" id="docshape15" filled="false" stroked="false">
                  <v:textbox inset="0,0,0,0">
                    <w:txbxContent>
                      <w:p>
                        <w:pPr>
                          <w:spacing w:line="240" w:lineRule="auto" w:before="53"/>
                          <w:rPr>
                            <w:sz w:val="22"/>
                          </w:rPr>
                        </w:pPr>
                      </w:p>
                      <w:p>
                        <w:pPr>
                          <w:spacing w:before="0"/>
                          <w:ind w:left="57" w:right="0"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1"/>
                            <w:sz w:val="22"/>
                          </w:rPr>
                          <w:t> </w:t>
                        </w:r>
                        <w:r>
                          <w:rPr>
                            <w:rFonts w:ascii="Arial" w:hAnsi="Arial"/>
                            <w:b/>
                            <w:color w:val="FFFFFF"/>
                            <w:spacing w:val="-2"/>
                            <w:sz w:val="22"/>
                          </w:rPr>
                          <w:t>8603/2024</w:t>
                        </w:r>
                      </w:p>
                    </w:txbxContent>
                  </v:textbox>
                  <w10:wrap type="none"/>
                </v:shape>
                <w10:wrap type="topAndBottom"/>
              </v:group>
            </w:pict>
          </mc:Fallback>
        </mc:AlternateContent>
      </w:r>
    </w:p>
    <w:p>
      <w:pPr>
        <w:pStyle w:val="Heading1"/>
        <w:spacing w:before="259"/>
        <w:ind w:right="452"/>
      </w:pPr>
      <w:r>
        <w:rPr/>
        <w:t>CONSULTA. SERVIDOR PÚBLICO. APOSENTADO. PENSIONISTA. REAJUSTE DE VENCIMENTO. CONCESSÃO DO DIREITO DE PARIDADE. RESPONSABILIDADE CUSTEIO.</w:t>
      </w:r>
    </w:p>
    <w:p>
      <w:pPr>
        <w:pStyle w:val="BodyText"/>
        <w:spacing w:before="207"/>
        <w:ind w:left="299" w:right="449"/>
        <w:jc w:val="both"/>
      </w:pPr>
      <w:r>
        <w:rPr/>
        <w:t>Consulta acerca do reajuste dos vencimentos de aposentados e pensionistas, para readequar ao novo teto inaugurado pela Lei nº 14.434/2022 e como se dará sua forma de custeio. O Pleno Virtual do Tribunal de Contas do Estado do Ceará, por unanimidade de votos, conheceu a consulta e no mérito respondeu que: a) Assiste razão a concessão aos aposentados e pensionistas do direito a paridade de vencimentos com os servidores públicos ativos, salvo se já receberem valor superior a tal, referentes ao piso salarial estabelecido para os profissionais de enfermeiros (as), técnico e auxiliar de enfermagem e parteiras, nos termos da Lei n º 14.434/2022; b) É de responsabilidade do Fundo de Previdência do Município o custeio do direito à paridade cabível aos servidores inativos</w:t>
      </w:r>
      <w:r>
        <w:rPr>
          <w:spacing w:val="31"/>
        </w:rPr>
        <w:t> </w:t>
      </w:r>
      <w:r>
        <w:rPr/>
        <w:t>que dele usufruam, e, no caso de eventual insuficiência de recursos, o tesouro municipal deve complementar os valores para o pagamento dos </w:t>
      </w:r>
      <w:r>
        <w:rPr>
          <w:spacing w:val="-2"/>
        </w:rPr>
        <w:t>benefícios.</w:t>
      </w:r>
    </w:p>
    <w:p>
      <w:pPr>
        <w:spacing w:before="207"/>
        <w:ind w:left="299" w:right="0" w:firstLine="0"/>
        <w:jc w:val="both"/>
        <w:rPr>
          <w:sz w:val="18"/>
        </w:rPr>
      </w:pPr>
      <w:r>
        <w:rPr>
          <w:sz w:val="18"/>
        </w:rPr>
        <w:t>Processo</w:t>
      </w:r>
      <w:r>
        <w:rPr>
          <w:spacing w:val="-4"/>
          <w:sz w:val="18"/>
        </w:rPr>
        <w:t> </w:t>
      </w:r>
      <w:r>
        <w:rPr>
          <w:sz w:val="18"/>
        </w:rPr>
        <w:t>n.º</w:t>
      </w:r>
      <w:r>
        <w:rPr>
          <w:spacing w:val="-3"/>
          <w:sz w:val="18"/>
        </w:rPr>
        <w:t> </w:t>
      </w:r>
      <w:r>
        <w:rPr>
          <w:sz w:val="18"/>
        </w:rPr>
        <w:t>01314/2024-4.</w:t>
      </w:r>
      <w:r>
        <w:rPr>
          <w:spacing w:val="66"/>
          <w:w w:val="150"/>
          <w:sz w:val="18"/>
        </w:rPr>
        <w:t> </w:t>
      </w:r>
      <w:r>
        <w:rPr>
          <w:sz w:val="18"/>
        </w:rPr>
        <w:t>Relator(a):</w:t>
      </w:r>
      <w:r>
        <w:rPr>
          <w:spacing w:val="-3"/>
          <w:sz w:val="18"/>
        </w:rPr>
        <w:t> </w:t>
      </w:r>
      <w:r>
        <w:rPr>
          <w:sz w:val="18"/>
        </w:rPr>
        <w:t>Cons(a).</w:t>
      </w:r>
      <w:r>
        <w:rPr>
          <w:spacing w:val="-4"/>
          <w:sz w:val="18"/>
        </w:rPr>
        <w:t> </w:t>
      </w:r>
      <w:r>
        <w:rPr>
          <w:sz w:val="18"/>
        </w:rPr>
        <w:t>Edilberto</w:t>
      </w:r>
      <w:r>
        <w:rPr>
          <w:spacing w:val="-1"/>
          <w:sz w:val="18"/>
        </w:rPr>
        <w:t> </w:t>
      </w:r>
      <w:r>
        <w:rPr>
          <w:sz w:val="18"/>
        </w:rPr>
        <w:t>Pontes.</w:t>
      </w:r>
      <w:r>
        <w:rPr>
          <w:spacing w:val="68"/>
          <w:sz w:val="18"/>
        </w:rPr>
        <w:t>  </w:t>
      </w:r>
      <w:r>
        <w:rPr>
          <w:sz w:val="18"/>
        </w:rPr>
        <w:t>Sessão</w:t>
      </w:r>
      <w:r>
        <w:rPr>
          <w:spacing w:val="-3"/>
          <w:sz w:val="18"/>
        </w:rPr>
        <w:t> </w:t>
      </w:r>
      <w:r>
        <w:rPr>
          <w:sz w:val="18"/>
        </w:rPr>
        <w:t>de</w:t>
      </w:r>
      <w:r>
        <w:rPr>
          <w:spacing w:val="-4"/>
          <w:sz w:val="18"/>
        </w:rPr>
        <w:t> </w:t>
      </w:r>
      <w:r>
        <w:rPr>
          <w:sz w:val="18"/>
        </w:rPr>
        <w:t>18/11/2024.</w:t>
      </w:r>
      <w:r>
        <w:rPr>
          <w:spacing w:val="69"/>
          <w:sz w:val="18"/>
        </w:rPr>
        <w:t>  </w:t>
      </w:r>
      <w:r>
        <w:rPr>
          <w:sz w:val="18"/>
        </w:rPr>
        <w:t>Ata</w:t>
      </w:r>
      <w:r>
        <w:rPr>
          <w:spacing w:val="-3"/>
          <w:sz w:val="18"/>
        </w:rPr>
        <w:t> </w:t>
      </w:r>
      <w:r>
        <w:rPr>
          <w:sz w:val="18"/>
        </w:rPr>
        <w:t>n.º</w:t>
      </w:r>
      <w:r>
        <w:rPr>
          <w:spacing w:val="-3"/>
          <w:sz w:val="18"/>
        </w:rPr>
        <w:t> </w:t>
      </w:r>
      <w:r>
        <w:rPr>
          <w:sz w:val="18"/>
        </w:rPr>
        <w:t>218/2024.</w:t>
      </w:r>
      <w:r>
        <w:rPr>
          <w:spacing w:val="69"/>
          <w:sz w:val="18"/>
        </w:rPr>
        <w:t>  </w:t>
      </w:r>
      <w:r>
        <w:rPr>
          <w:sz w:val="18"/>
        </w:rPr>
        <w:t>DO:</w:t>
      </w:r>
      <w:r>
        <w:rPr>
          <w:spacing w:val="-4"/>
          <w:sz w:val="18"/>
        </w:rPr>
        <w:t> </w:t>
      </w:r>
      <w:r>
        <w:rPr>
          <w:spacing w:val="-2"/>
          <w:sz w:val="18"/>
        </w:rPr>
        <w:t>04/12/2024.</w:t>
      </w:r>
    </w:p>
    <w:p>
      <w:pPr>
        <w:pStyle w:val="BodyText"/>
        <w:spacing w:before="7"/>
        <w:rPr>
          <w:sz w:val="14"/>
        </w:rPr>
      </w:pPr>
      <w:r>
        <w:rPr>
          <w:sz w:val="14"/>
        </w:rPr>
        <mc:AlternateContent>
          <mc:Choice Requires="wps">
            <w:drawing>
              <wp:anchor distT="0" distB="0" distL="0" distR="0" allowOverlap="1" layoutInCell="1" locked="0" behindDoc="1" simplePos="0" relativeHeight="487590400">
                <wp:simplePos x="0" y="0"/>
                <wp:positionH relativeFrom="page">
                  <wp:posOffset>244475</wp:posOffset>
                </wp:positionH>
                <wp:positionV relativeFrom="paragraph">
                  <wp:posOffset>122072</wp:posOffset>
                </wp:positionV>
                <wp:extent cx="7193280" cy="455930"/>
                <wp:effectExtent l="0" t="0" r="0" b="0"/>
                <wp:wrapTopAndBottom/>
                <wp:docPr id="17" name="Group 17"/>
                <wp:cNvGraphicFramePr>
                  <a:graphicFrameLocks/>
                </wp:cNvGraphicFramePr>
                <a:graphic>
                  <a:graphicData uri="http://schemas.microsoft.com/office/word/2010/wordprocessingGroup">
                    <wpg:wgp>
                      <wpg:cNvPr id="17" name="Group 17"/>
                      <wpg:cNvGrpSpPr/>
                      <wpg:grpSpPr>
                        <a:xfrm>
                          <a:off x="0" y="0"/>
                          <a:ext cx="7193280" cy="455930"/>
                          <a:chExt cx="7193280" cy="455930"/>
                        </a:xfrm>
                      </wpg:grpSpPr>
                      <pic:pic>
                        <pic:nvPicPr>
                          <pic:cNvPr id="18" name="Image 18"/>
                          <pic:cNvPicPr/>
                        </pic:nvPicPr>
                        <pic:blipFill>
                          <a:blip r:embed="rId9" cstate="print"/>
                          <a:stretch>
                            <a:fillRect/>
                          </a:stretch>
                        </pic:blipFill>
                        <pic:spPr>
                          <a:xfrm>
                            <a:off x="0" y="0"/>
                            <a:ext cx="7193280" cy="455929"/>
                          </a:xfrm>
                          <a:prstGeom prst="rect">
                            <a:avLst/>
                          </a:prstGeom>
                        </pic:spPr>
                      </pic:pic>
                      <wps:wsp>
                        <wps:cNvPr id="19" name="Textbox 19"/>
                        <wps:cNvSpPr txBox="1"/>
                        <wps:spPr>
                          <a:xfrm>
                            <a:off x="0" y="0"/>
                            <a:ext cx="7193280" cy="455930"/>
                          </a:xfrm>
                          <a:prstGeom prst="rect">
                            <a:avLst/>
                          </a:prstGeom>
                        </wps:spPr>
                        <wps:txbx>
                          <w:txbxContent>
                            <w:p>
                              <w:pPr>
                                <w:spacing w:before="221"/>
                                <w:ind w:left="0" w:right="191"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8349/2024</w:t>
                              </w:r>
                            </w:p>
                          </w:txbxContent>
                        </wps:txbx>
                        <wps:bodyPr wrap="square" lIns="0" tIns="0" rIns="0" bIns="0" rtlCol="0">
                          <a:noAutofit/>
                        </wps:bodyPr>
                      </wps:wsp>
                    </wpg:wgp>
                  </a:graphicData>
                </a:graphic>
              </wp:anchor>
            </w:drawing>
          </mc:Choice>
          <mc:Fallback>
            <w:pict>
              <v:group style="position:absolute;margin-left:19.25pt;margin-top:9.612012pt;width:566.4pt;height:35.9pt;mso-position-horizontal-relative:page;mso-position-vertical-relative:paragraph;z-index:-15726080;mso-wrap-distance-left:0;mso-wrap-distance-right:0" id="docshapegroup16" coordorigin="385,192" coordsize="11328,718">
                <v:shape style="position:absolute;left:385;top:192;width:11328;height:718" type="#_x0000_t75" id="docshape17" stroked="false">
                  <v:imagedata r:id="rId9" o:title=""/>
                </v:shape>
                <v:shape style="position:absolute;left:385;top:192;width:11328;height:718" type="#_x0000_t202" id="docshape18" filled="false" stroked="false">
                  <v:textbox inset="0,0,0,0">
                    <w:txbxContent>
                      <w:p>
                        <w:pPr>
                          <w:spacing w:before="221"/>
                          <w:ind w:left="0" w:right="191"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8349/2024</w:t>
                        </w:r>
                      </w:p>
                    </w:txbxContent>
                  </v:textbox>
                  <w10:wrap type="none"/>
                </v:shape>
                <w10:wrap type="topAndBottom"/>
              </v:group>
            </w:pict>
          </mc:Fallback>
        </mc:AlternateContent>
      </w:r>
    </w:p>
    <w:p>
      <w:pPr>
        <w:pStyle w:val="Heading1"/>
        <w:spacing w:before="171"/>
      </w:pPr>
      <w:r>
        <w:rPr/>
        <w:t>CONSULTA. APOSENTADORIA DE AGENTE PÚBLICO. SERVIDOR ESTABILIZADO. ESTABILIDADE EXCEPCIONAL. INCONSTITUCIONALIDADE. REQUISITOS PARA INATIVAÇÃO. SEGURANÇA JURÍDICA.</w:t>
      </w:r>
    </w:p>
    <w:p>
      <w:pPr>
        <w:pStyle w:val="BodyText"/>
        <w:spacing w:before="207"/>
        <w:ind w:left="299" w:right="453"/>
        <w:jc w:val="both"/>
      </w:pPr>
      <w:r>
        <w:rPr/>
        <w:t>Consulta acerca do tratamento jurídico aplicável aos pedidos de aposentadoria de agentes admitidos sem concurso público</w:t>
      </w:r>
      <w:r>
        <w:rPr>
          <w:spacing w:val="-2"/>
        </w:rPr>
        <w:t> </w:t>
      </w:r>
      <w:r>
        <w:rPr/>
        <w:t>antes da</w:t>
      </w:r>
      <w:r>
        <w:rPr>
          <w:spacing w:val="-2"/>
        </w:rPr>
        <w:t> </w:t>
      </w:r>
      <w:r>
        <w:rPr/>
        <w:t>CF 88</w:t>
      </w:r>
      <w:r>
        <w:rPr>
          <w:spacing w:val="-2"/>
        </w:rPr>
        <w:t> </w:t>
      </w:r>
      <w:r>
        <w:rPr/>
        <w:t>estabilizados</w:t>
      </w:r>
      <w:r>
        <w:rPr>
          <w:spacing w:val="-2"/>
        </w:rPr>
        <w:t> </w:t>
      </w:r>
      <w:r>
        <w:rPr/>
        <w:t>com</w:t>
      </w:r>
      <w:r>
        <w:rPr>
          <w:spacing w:val="-3"/>
        </w:rPr>
        <w:t> </w:t>
      </w:r>
      <w:r>
        <w:rPr/>
        <w:t>base</w:t>
      </w:r>
      <w:r>
        <w:rPr>
          <w:spacing w:val="-2"/>
        </w:rPr>
        <w:t> </w:t>
      </w:r>
      <w:r>
        <w:rPr/>
        <w:t>na</w:t>
      </w:r>
      <w:r>
        <w:rPr>
          <w:spacing w:val="-2"/>
        </w:rPr>
        <w:t> </w:t>
      </w:r>
      <w:r>
        <w:rPr/>
        <w:t>regra do</w:t>
      </w:r>
      <w:r>
        <w:rPr>
          <w:spacing w:val="-2"/>
        </w:rPr>
        <w:t> </w:t>
      </w:r>
      <w:r>
        <w:rPr/>
        <w:t>art. 19</w:t>
      </w:r>
      <w:r>
        <w:rPr>
          <w:spacing w:val="-2"/>
        </w:rPr>
        <w:t> </w:t>
      </w:r>
      <w:r>
        <w:rPr/>
        <w:t>do</w:t>
      </w:r>
      <w:r>
        <w:rPr>
          <w:spacing w:val="-3"/>
        </w:rPr>
        <w:t> </w:t>
      </w:r>
      <w:r>
        <w:rPr/>
        <w:t>ADCT</w:t>
      </w:r>
      <w:r>
        <w:rPr>
          <w:spacing w:val="-1"/>
        </w:rPr>
        <w:t> </w:t>
      </w:r>
      <w:r>
        <w:rPr/>
        <w:t>da</w:t>
      </w:r>
      <w:r>
        <w:rPr>
          <w:spacing w:val="-2"/>
        </w:rPr>
        <w:t> </w:t>
      </w:r>
      <w:r>
        <w:rPr/>
        <w:t>CF</w:t>
      </w:r>
      <w:r>
        <w:rPr>
          <w:spacing w:val="-1"/>
        </w:rPr>
        <w:t> </w:t>
      </w:r>
      <w:r>
        <w:rPr/>
        <w:t>c/c</w:t>
      </w:r>
      <w:r>
        <w:rPr>
          <w:spacing w:val="-2"/>
        </w:rPr>
        <w:t> </w:t>
      </w:r>
      <w:r>
        <w:rPr/>
        <w:t>§1º</w:t>
      </w:r>
      <w:r>
        <w:rPr>
          <w:spacing w:val="-2"/>
        </w:rPr>
        <w:t> </w:t>
      </w:r>
      <w:r>
        <w:rPr/>
        <w:t>do</w:t>
      </w:r>
      <w:r>
        <w:rPr>
          <w:spacing w:val="-2"/>
        </w:rPr>
        <w:t> </w:t>
      </w:r>
      <w:r>
        <w:rPr/>
        <w:t>art.</w:t>
      </w:r>
      <w:r>
        <w:rPr>
          <w:spacing w:val="-2"/>
        </w:rPr>
        <w:t> </w:t>
      </w:r>
      <w:r>
        <w:rPr/>
        <w:t>534</w:t>
      </w:r>
      <w:r>
        <w:rPr>
          <w:spacing w:val="-2"/>
        </w:rPr>
        <w:t> </w:t>
      </w:r>
      <w:r>
        <w:rPr/>
        <w:t>da</w:t>
      </w:r>
      <w:r>
        <w:rPr>
          <w:spacing w:val="-2"/>
        </w:rPr>
        <w:t> </w:t>
      </w:r>
      <w:r>
        <w:rPr/>
        <w:t>Lei</w:t>
      </w:r>
      <w:r>
        <w:rPr>
          <w:spacing w:val="-3"/>
        </w:rPr>
        <w:t> </w:t>
      </w:r>
      <w:r>
        <w:rPr/>
        <w:t>Estadual</w:t>
      </w:r>
      <w:r>
        <w:rPr>
          <w:spacing w:val="-3"/>
        </w:rPr>
        <w:t> </w:t>
      </w:r>
      <w:r>
        <w:rPr/>
        <w:t>nº 12.342/1994, diante da declaração de inconstitucionalidade deste último dispositivo pela Corte Especial do TJCE no Incidente de Arguição de Inconstitucionalidade nº 0478315 - 38.2000.8.06.0000/50001. O Pleno do Tribunal de Contas do Estado do Ceará, por unanimidade de votos, conheceu a consulta e no mérito respondeu: a) Conforme tese fixada pelo STF, bem como visando o princípio da segurança jurídica, pode-se conceder aposentadoria aos servidores, que estabilizados com base na regra do § 1º do art. 534 da Lei Federal nº 12.342/1994, tenham preenchidos os requisitos para a</w:t>
      </w:r>
      <w:r>
        <w:rPr>
          <w:spacing w:val="-2"/>
        </w:rPr>
        <w:t> </w:t>
      </w:r>
      <w:r>
        <w:rPr/>
        <w:t>inativação até a</w:t>
      </w:r>
      <w:r>
        <w:rPr>
          <w:spacing w:val="-2"/>
        </w:rPr>
        <w:t> </w:t>
      </w:r>
      <w:r>
        <w:rPr/>
        <w:t>data da</w:t>
      </w:r>
      <w:r>
        <w:rPr>
          <w:spacing w:val="-2"/>
        </w:rPr>
        <w:t> </w:t>
      </w:r>
      <w:r>
        <w:rPr/>
        <w:t>publicação da ata</w:t>
      </w:r>
      <w:r>
        <w:rPr>
          <w:spacing w:val="-2"/>
        </w:rPr>
        <w:t> </w:t>
      </w:r>
      <w:r>
        <w:rPr/>
        <w:t>de</w:t>
      </w:r>
      <w:r>
        <w:rPr>
          <w:spacing w:val="-2"/>
        </w:rPr>
        <w:t> </w:t>
      </w:r>
      <w:r>
        <w:rPr/>
        <w:t>julgamento dos Embargos</w:t>
      </w:r>
      <w:r>
        <w:rPr>
          <w:spacing w:val="-2"/>
        </w:rPr>
        <w:t> </w:t>
      </w:r>
      <w:r>
        <w:rPr/>
        <w:t>de</w:t>
      </w:r>
      <w:r>
        <w:rPr>
          <w:spacing w:val="-2"/>
        </w:rPr>
        <w:t> </w:t>
      </w:r>
      <w:r>
        <w:rPr/>
        <w:t>Declaração na Repercussão Geral</w:t>
      </w:r>
      <w:r>
        <w:rPr>
          <w:spacing w:val="-1"/>
        </w:rPr>
        <w:t> </w:t>
      </w:r>
      <w:r>
        <w:rPr/>
        <w:t>no Recurso Extraordinário 1.426.306, devendo ser concedidos os benefícios do Regime Próprio da Previdência Social; b) Aos servidores estabilizados pela regra prevista no § 1º do art. 534 da Lei Estadual nº 12.342/1994, que tenham implementado os requisitos para a aposentadoria até a data da publicação da ata de julgamento dos Embargos de Declaração na Repercussão Geral no Recurso Extraordinário 1.426.306, devem ser concedidos os benefícios do</w:t>
      </w:r>
      <w:r>
        <w:rPr>
          <w:spacing w:val="40"/>
        </w:rPr>
        <w:t> </w:t>
      </w:r>
      <w:r>
        <w:rPr/>
        <w:t>Regime Próprio de Previdência Social; c) A transferência do RPPS para o RGPS só poderia operar com a aquiescência do segurado, sob pena de violar o princípio da segurança jurídica, mais especificamente o princípio da confiança objetiva. Além disso, aos agentes estabilizados com base em regra inconstitucional, que não tenha cumprido os requisitos para a aposentadoria até a data da publicação da ata de julgamento dos Embargos de Declaração na Repercussão Geral no Recurso Extraordinário 1.426.306, data-base da modulação dos efeitos, faz-se necessária a desvinculação do respectivo RPPS e a vinculação ao RGPS, com as correspondentes compensações financeiras </w:t>
      </w:r>
      <w:r>
        <w:rPr>
          <w:spacing w:val="-2"/>
        </w:rPr>
        <w:t>existentes.</w:t>
      </w:r>
    </w:p>
    <w:p>
      <w:pPr>
        <w:spacing w:before="139"/>
        <w:ind w:left="299" w:right="0" w:firstLine="0"/>
        <w:jc w:val="both"/>
        <w:rPr>
          <w:sz w:val="18"/>
        </w:rPr>
      </w:pPr>
      <w:r>
        <w:rPr>
          <w:sz w:val="18"/>
        </w:rPr>
        <w:t>Processo</w:t>
      </w:r>
      <w:r>
        <w:rPr>
          <w:spacing w:val="-4"/>
          <w:sz w:val="18"/>
        </w:rPr>
        <w:t> </w:t>
      </w:r>
      <w:r>
        <w:rPr>
          <w:sz w:val="18"/>
        </w:rPr>
        <w:t>n.º</w:t>
      </w:r>
      <w:r>
        <w:rPr>
          <w:spacing w:val="-3"/>
          <w:sz w:val="18"/>
        </w:rPr>
        <w:t> </w:t>
      </w:r>
      <w:r>
        <w:rPr>
          <w:sz w:val="18"/>
        </w:rPr>
        <w:t>25771/2024-9.</w:t>
      </w:r>
      <w:r>
        <w:rPr>
          <w:spacing w:val="44"/>
          <w:sz w:val="18"/>
        </w:rPr>
        <w:t>  </w:t>
      </w:r>
      <w:r>
        <w:rPr>
          <w:sz w:val="18"/>
        </w:rPr>
        <w:t>Relator(a):</w:t>
      </w:r>
      <w:r>
        <w:rPr>
          <w:spacing w:val="-2"/>
          <w:sz w:val="18"/>
        </w:rPr>
        <w:t> </w:t>
      </w:r>
      <w:r>
        <w:rPr>
          <w:sz w:val="18"/>
        </w:rPr>
        <w:t>Cons(a).</w:t>
      </w:r>
      <w:r>
        <w:rPr>
          <w:spacing w:val="-3"/>
          <w:sz w:val="18"/>
        </w:rPr>
        <w:t> </w:t>
      </w:r>
      <w:r>
        <w:rPr>
          <w:sz w:val="18"/>
        </w:rPr>
        <w:t>Patrícia</w:t>
      </w:r>
      <w:r>
        <w:rPr>
          <w:spacing w:val="-2"/>
          <w:sz w:val="18"/>
        </w:rPr>
        <w:t> </w:t>
      </w:r>
      <w:r>
        <w:rPr>
          <w:sz w:val="18"/>
        </w:rPr>
        <w:t>Saboya.</w:t>
      </w:r>
      <w:r>
        <w:rPr>
          <w:spacing w:val="67"/>
          <w:w w:val="150"/>
          <w:sz w:val="18"/>
        </w:rPr>
        <w:t>  </w:t>
      </w:r>
      <w:r>
        <w:rPr>
          <w:sz w:val="18"/>
        </w:rPr>
        <w:t>Sessão</w:t>
      </w:r>
      <w:r>
        <w:rPr>
          <w:spacing w:val="-3"/>
          <w:sz w:val="18"/>
        </w:rPr>
        <w:t> </w:t>
      </w:r>
      <w:r>
        <w:rPr>
          <w:sz w:val="18"/>
        </w:rPr>
        <w:t>de</w:t>
      </w:r>
      <w:r>
        <w:rPr>
          <w:spacing w:val="-4"/>
          <w:sz w:val="18"/>
        </w:rPr>
        <w:t> </w:t>
      </w:r>
      <w:r>
        <w:rPr>
          <w:sz w:val="18"/>
        </w:rPr>
        <w:t>25/11/2024.</w:t>
      </w:r>
      <w:r>
        <w:rPr>
          <w:spacing w:val="72"/>
          <w:sz w:val="18"/>
        </w:rPr>
        <w:t>  </w:t>
      </w:r>
      <w:r>
        <w:rPr>
          <w:sz w:val="18"/>
        </w:rPr>
        <w:t>Ata</w:t>
      </w:r>
      <w:r>
        <w:rPr>
          <w:spacing w:val="-3"/>
          <w:sz w:val="18"/>
        </w:rPr>
        <w:t> </w:t>
      </w:r>
      <w:r>
        <w:rPr>
          <w:sz w:val="18"/>
        </w:rPr>
        <w:t>n.º</w:t>
      </w:r>
      <w:r>
        <w:rPr>
          <w:spacing w:val="-4"/>
          <w:sz w:val="18"/>
        </w:rPr>
        <w:t> </w:t>
      </w:r>
      <w:r>
        <w:rPr>
          <w:sz w:val="18"/>
        </w:rPr>
        <w:t>219/2024.</w:t>
      </w:r>
      <w:r>
        <w:rPr>
          <w:spacing w:val="45"/>
          <w:sz w:val="18"/>
        </w:rPr>
        <w:t>  </w:t>
      </w:r>
      <w:r>
        <w:rPr>
          <w:sz w:val="18"/>
        </w:rPr>
        <w:t>DO:</w:t>
      </w:r>
      <w:r>
        <w:rPr>
          <w:spacing w:val="-4"/>
          <w:sz w:val="18"/>
        </w:rPr>
        <w:t> </w:t>
      </w:r>
      <w:r>
        <w:rPr>
          <w:spacing w:val="-2"/>
          <w:sz w:val="18"/>
        </w:rPr>
        <w:t>20/12/2024.</w:t>
      </w:r>
    </w:p>
    <w:p>
      <w:pPr>
        <w:spacing w:after="0"/>
        <w:jc w:val="both"/>
        <w:rPr>
          <w:sz w:val="18"/>
        </w:rPr>
        <w:sectPr>
          <w:pgSz w:w="11910" w:h="16840"/>
          <w:pgMar w:header="0" w:footer="761" w:top="1840" w:bottom="960" w:left="283" w:right="141"/>
        </w:sectPr>
      </w:pPr>
    </w:p>
    <w:p>
      <w:pPr>
        <w:pStyle w:val="BodyText"/>
        <w:ind w:left="294"/>
      </w:pPr>
      <w:r>
        <w:rPr/>
        <mc:AlternateContent>
          <mc:Choice Requires="wps">
            <w:drawing>
              <wp:inline distT="0" distB="0" distL="0" distR="0">
                <wp:extent cx="6824345" cy="407670"/>
                <wp:effectExtent l="0" t="0" r="0" b="1904"/>
                <wp:docPr id="20" name="Group 20"/>
                <wp:cNvGraphicFramePr>
                  <a:graphicFrameLocks/>
                </wp:cNvGraphicFramePr>
                <a:graphic>
                  <a:graphicData uri="http://schemas.microsoft.com/office/word/2010/wordprocessingGroup">
                    <wpg:wgp>
                      <wpg:cNvPr id="20" name="Group 20"/>
                      <wpg:cNvGrpSpPr/>
                      <wpg:grpSpPr>
                        <a:xfrm>
                          <a:off x="0" y="0"/>
                          <a:ext cx="6824345" cy="407670"/>
                          <a:chExt cx="6824345" cy="407670"/>
                        </a:xfrm>
                      </wpg:grpSpPr>
                      <pic:pic>
                        <pic:nvPicPr>
                          <pic:cNvPr id="21" name="Image 21"/>
                          <pic:cNvPicPr/>
                        </pic:nvPicPr>
                        <pic:blipFill>
                          <a:blip r:embed="rId9" cstate="print"/>
                          <a:stretch>
                            <a:fillRect/>
                          </a:stretch>
                        </pic:blipFill>
                        <pic:spPr>
                          <a:xfrm>
                            <a:off x="0" y="0"/>
                            <a:ext cx="6824345" cy="407670"/>
                          </a:xfrm>
                          <a:prstGeom prst="rect">
                            <a:avLst/>
                          </a:prstGeom>
                        </pic:spPr>
                      </pic:pic>
                      <wps:wsp>
                        <wps:cNvPr id="22" name="Textbox 22"/>
                        <wps:cNvSpPr txBox="1"/>
                        <wps:spPr>
                          <a:xfrm>
                            <a:off x="0" y="0"/>
                            <a:ext cx="6824345" cy="407670"/>
                          </a:xfrm>
                          <a:prstGeom prst="rect">
                            <a:avLst/>
                          </a:prstGeom>
                        </wps:spPr>
                        <wps:txbx>
                          <w:txbxContent>
                            <w:p>
                              <w:pPr>
                                <w:spacing w:before="169"/>
                                <w:ind w:left="57" w:right="54"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1"/>
                                  <w:sz w:val="22"/>
                                </w:rPr>
                                <w:t> </w:t>
                              </w:r>
                              <w:r>
                                <w:rPr>
                                  <w:rFonts w:ascii="Arial" w:hAnsi="Arial"/>
                                  <w:b/>
                                  <w:color w:val="FFFFFF"/>
                                  <w:spacing w:val="-2"/>
                                  <w:sz w:val="22"/>
                                </w:rPr>
                                <w:t>7690/2024</w:t>
                              </w:r>
                            </w:p>
                          </w:txbxContent>
                        </wps:txbx>
                        <wps:bodyPr wrap="square" lIns="0" tIns="0" rIns="0" bIns="0" rtlCol="0">
                          <a:noAutofit/>
                        </wps:bodyPr>
                      </wps:wsp>
                    </wpg:wgp>
                  </a:graphicData>
                </a:graphic>
              </wp:inline>
            </w:drawing>
          </mc:Choice>
          <mc:Fallback>
            <w:pict>
              <v:group style="width:537.35pt;height:32.1pt;mso-position-horizontal-relative:char;mso-position-vertical-relative:line" id="docshapegroup19" coordorigin="0,0" coordsize="10747,642">
                <v:shape style="position:absolute;left:0;top:0;width:10747;height:642" type="#_x0000_t75" id="docshape20" stroked="false">
                  <v:imagedata r:id="rId9" o:title=""/>
                </v:shape>
                <v:shape style="position:absolute;left:0;top:0;width:10747;height:642" type="#_x0000_t202" id="docshape21" filled="false" stroked="false">
                  <v:textbox inset="0,0,0,0">
                    <w:txbxContent>
                      <w:p>
                        <w:pPr>
                          <w:spacing w:before="169"/>
                          <w:ind w:left="57" w:right="54"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1"/>
                            <w:sz w:val="22"/>
                          </w:rPr>
                          <w:t> </w:t>
                        </w:r>
                        <w:r>
                          <w:rPr>
                            <w:rFonts w:ascii="Arial" w:hAnsi="Arial"/>
                            <w:b/>
                            <w:color w:val="FFFFFF"/>
                            <w:spacing w:val="-2"/>
                            <w:sz w:val="22"/>
                          </w:rPr>
                          <w:t>7690/2024</w:t>
                        </w:r>
                      </w:p>
                    </w:txbxContent>
                  </v:textbox>
                  <w10:wrap type="none"/>
                </v:shape>
              </v:group>
            </w:pict>
          </mc:Fallback>
        </mc:AlternateContent>
      </w:r>
      <w:r>
        <w:rPr/>
      </w:r>
    </w:p>
    <w:p>
      <w:pPr>
        <w:pStyle w:val="Heading1"/>
        <w:spacing w:before="207"/>
        <w:ind w:right="446"/>
      </w:pPr>
      <w:r>
        <w:rPr/>
        <w:t>TOMADA DE CONTAS ESPECIAL. RESCISÃO CONTRATUAL. RESCISÃO UNILATERAL. INEXECUÇÃO DE CONTRATO. GARANTIA CONTRATUAL. RESPONSABILIZAÇÃO DO GESTOR. DANO AO ERÁRIO. CONTAS IRREGULARES. MULTA.</w:t>
      </w:r>
    </w:p>
    <w:p>
      <w:pPr>
        <w:pStyle w:val="BodyText"/>
        <w:spacing w:before="207"/>
        <w:ind w:left="299" w:right="453"/>
        <w:jc w:val="both"/>
      </w:pPr>
      <w:r>
        <w:rPr/>
        <w:t>O Contrato foi rescindido unilateralmente pela Administração em razão do descumprimento do prazo de execução. A Contratada foi regularmente sancionada com multa. Contudo, a garantia de execução do contrato não foi executada/acionada pela unidade jurisdicionada na ocasião da rescisão. A Contratante tem a incumbência de promover a execução da garantia contratual por ocasião da rescisão unilateral motivada pela contratada. Esta Corte de Contas</w:t>
      </w:r>
      <w:r>
        <w:rPr>
          <w:spacing w:val="40"/>
        </w:rPr>
        <w:t> </w:t>
      </w:r>
      <w:r>
        <w:rPr/>
        <w:t>tem posicionado-se no sentido de considerar a falta de execução da garantia contratual como dano ao erário, conforme Processo nº 26404/2019-3 (Resolução 8313/2022 – Relatora Conselheira Soraia Victor), Processo nº 06969/2017-3 (Resolução nº 7645/2022 – Relatora Designada Conselheira Patrícia Saboya) e Processo nº 21316/2019-3 (Resolução nº 7471/2023 – Relator Conselheiro Edilberto Pontes). A responsabilidade limita-se ao gestor maior do contrato, Secretário</w:t>
      </w:r>
      <w:r>
        <w:rPr>
          <w:spacing w:val="-1"/>
        </w:rPr>
        <w:t> </w:t>
      </w:r>
      <w:r>
        <w:rPr/>
        <w:t>da</w:t>
      </w:r>
      <w:r>
        <w:rPr>
          <w:spacing w:val="-3"/>
        </w:rPr>
        <w:t> </w:t>
      </w:r>
      <w:r>
        <w:rPr/>
        <w:t>Educação,</w:t>
      </w:r>
      <w:r>
        <w:rPr>
          <w:spacing w:val="-1"/>
        </w:rPr>
        <w:t> </w:t>
      </w:r>
      <w:r>
        <w:rPr/>
        <w:t>também</w:t>
      </w:r>
      <w:r>
        <w:rPr>
          <w:spacing w:val="-4"/>
        </w:rPr>
        <w:t> </w:t>
      </w:r>
      <w:r>
        <w:rPr/>
        <w:t>signatário</w:t>
      </w:r>
      <w:r>
        <w:rPr>
          <w:spacing w:val="-1"/>
        </w:rPr>
        <w:t> </w:t>
      </w:r>
      <w:r>
        <w:rPr/>
        <w:t>da</w:t>
      </w:r>
      <w:r>
        <w:rPr>
          <w:spacing w:val="-3"/>
        </w:rPr>
        <w:t> </w:t>
      </w:r>
      <w:r>
        <w:rPr/>
        <w:t>rescisão,</w:t>
      </w:r>
      <w:r>
        <w:rPr>
          <w:spacing w:val="-1"/>
        </w:rPr>
        <w:t> </w:t>
      </w:r>
      <w:r>
        <w:rPr/>
        <w:t>uma</w:t>
      </w:r>
      <w:r>
        <w:rPr>
          <w:spacing w:val="-3"/>
        </w:rPr>
        <w:t> </w:t>
      </w:r>
      <w:r>
        <w:rPr/>
        <w:t>vez</w:t>
      </w:r>
      <w:r>
        <w:rPr>
          <w:spacing w:val="-3"/>
        </w:rPr>
        <w:t> </w:t>
      </w:r>
      <w:r>
        <w:rPr/>
        <w:t>que,</w:t>
      </w:r>
      <w:r>
        <w:rPr>
          <w:spacing w:val="-3"/>
        </w:rPr>
        <w:t> </w:t>
      </w:r>
      <w:r>
        <w:rPr/>
        <w:t>somente</w:t>
      </w:r>
      <w:r>
        <w:rPr>
          <w:spacing w:val="-1"/>
        </w:rPr>
        <w:t> </w:t>
      </w:r>
      <w:r>
        <w:rPr/>
        <w:t>este</w:t>
      </w:r>
      <w:r>
        <w:rPr>
          <w:spacing w:val="-3"/>
        </w:rPr>
        <w:t> </w:t>
      </w:r>
      <w:r>
        <w:rPr/>
        <w:t>detinha</w:t>
      </w:r>
      <w:r>
        <w:rPr>
          <w:spacing w:val="-3"/>
        </w:rPr>
        <w:t> </w:t>
      </w:r>
      <w:r>
        <w:rPr/>
        <w:t>competência</w:t>
      </w:r>
      <w:r>
        <w:rPr>
          <w:spacing w:val="-3"/>
        </w:rPr>
        <w:t> </w:t>
      </w:r>
      <w:r>
        <w:rPr/>
        <w:t>para</w:t>
      </w:r>
      <w:r>
        <w:rPr>
          <w:spacing w:val="-3"/>
        </w:rPr>
        <w:t> </w:t>
      </w:r>
      <w:r>
        <w:rPr/>
        <w:t>viabilizar a rescisão do contrato e executar a referida cláusula. O Tribunal de Contas do Estado do Ceará, julgou irregular a presente Tomada de Contas Especial, imputando debito e multa ao gestor responsável.</w:t>
      </w:r>
    </w:p>
    <w:p>
      <w:pPr>
        <w:spacing w:before="207"/>
        <w:ind w:left="299" w:right="0" w:firstLine="0"/>
        <w:jc w:val="both"/>
        <w:rPr>
          <w:sz w:val="18"/>
        </w:rPr>
      </w:pPr>
      <w:r>
        <w:rPr>
          <w:sz w:val="18"/>
        </w:rPr>
        <w:t>Processo</w:t>
      </w:r>
      <w:r>
        <w:rPr>
          <w:spacing w:val="-6"/>
          <w:sz w:val="18"/>
        </w:rPr>
        <w:t> </w:t>
      </w:r>
      <w:r>
        <w:rPr>
          <w:sz w:val="18"/>
        </w:rPr>
        <w:t>n.º</w:t>
      </w:r>
      <w:r>
        <w:rPr>
          <w:spacing w:val="-2"/>
          <w:sz w:val="18"/>
        </w:rPr>
        <w:t> </w:t>
      </w:r>
      <w:r>
        <w:rPr>
          <w:sz w:val="18"/>
        </w:rPr>
        <w:t>16933/2020-2.</w:t>
      </w:r>
      <w:r>
        <w:rPr>
          <w:spacing w:val="68"/>
          <w:sz w:val="18"/>
        </w:rPr>
        <w:t>  </w:t>
      </w:r>
      <w:r>
        <w:rPr>
          <w:sz w:val="18"/>
        </w:rPr>
        <w:t>Relator(a):</w:t>
      </w:r>
      <w:r>
        <w:rPr>
          <w:spacing w:val="-2"/>
          <w:sz w:val="18"/>
        </w:rPr>
        <w:t> </w:t>
      </w:r>
      <w:r>
        <w:rPr>
          <w:sz w:val="18"/>
        </w:rPr>
        <w:t>Cons(a).</w:t>
      </w:r>
      <w:r>
        <w:rPr>
          <w:spacing w:val="1"/>
          <w:sz w:val="18"/>
        </w:rPr>
        <w:t> </w:t>
      </w:r>
      <w:r>
        <w:rPr>
          <w:sz w:val="18"/>
        </w:rPr>
        <w:t>Patrícia</w:t>
      </w:r>
      <w:r>
        <w:rPr>
          <w:spacing w:val="-3"/>
          <w:sz w:val="18"/>
        </w:rPr>
        <w:t> </w:t>
      </w:r>
      <w:r>
        <w:rPr>
          <w:sz w:val="18"/>
        </w:rPr>
        <w:t>Saboya.</w:t>
      </w:r>
      <w:r>
        <w:rPr>
          <w:spacing w:val="69"/>
          <w:sz w:val="18"/>
        </w:rPr>
        <w:t>  </w:t>
      </w:r>
      <w:r>
        <w:rPr>
          <w:sz w:val="18"/>
        </w:rPr>
        <w:t>Sessão</w:t>
      </w:r>
      <w:r>
        <w:rPr>
          <w:spacing w:val="-4"/>
          <w:sz w:val="18"/>
        </w:rPr>
        <w:t> </w:t>
      </w:r>
      <w:r>
        <w:rPr>
          <w:sz w:val="18"/>
        </w:rPr>
        <w:t>de</w:t>
      </w:r>
      <w:r>
        <w:rPr>
          <w:spacing w:val="-3"/>
          <w:sz w:val="18"/>
        </w:rPr>
        <w:t> </w:t>
      </w:r>
      <w:r>
        <w:rPr>
          <w:sz w:val="18"/>
        </w:rPr>
        <w:t>04/11/2024.</w:t>
      </w:r>
      <w:r>
        <w:rPr>
          <w:spacing w:val="46"/>
          <w:sz w:val="18"/>
        </w:rPr>
        <w:t>  </w:t>
      </w:r>
      <w:r>
        <w:rPr>
          <w:sz w:val="18"/>
        </w:rPr>
        <w:t>Ata</w:t>
      </w:r>
      <w:r>
        <w:rPr>
          <w:spacing w:val="-3"/>
          <w:sz w:val="18"/>
        </w:rPr>
        <w:t> </w:t>
      </w:r>
      <w:r>
        <w:rPr>
          <w:sz w:val="18"/>
        </w:rPr>
        <w:t>n.º</w:t>
      </w:r>
      <w:r>
        <w:rPr>
          <w:spacing w:val="-3"/>
          <w:sz w:val="18"/>
        </w:rPr>
        <w:t> </w:t>
      </w:r>
      <w:r>
        <w:rPr>
          <w:sz w:val="18"/>
        </w:rPr>
        <w:t>217/2024.</w:t>
      </w:r>
      <w:r>
        <w:rPr>
          <w:spacing w:val="68"/>
          <w:sz w:val="18"/>
        </w:rPr>
        <w:t>  </w:t>
      </w:r>
      <w:r>
        <w:rPr>
          <w:sz w:val="18"/>
        </w:rPr>
        <w:t>DO:</w:t>
      </w:r>
      <w:r>
        <w:rPr>
          <w:spacing w:val="-2"/>
          <w:sz w:val="18"/>
        </w:rPr>
        <w:t> 25/11/2024.</w:t>
      </w:r>
    </w:p>
    <w:p>
      <w:pPr>
        <w:pStyle w:val="BodyText"/>
        <w:spacing w:before="10"/>
        <w:rPr>
          <w:sz w:val="14"/>
        </w:rPr>
      </w:pPr>
      <w:r>
        <w:rPr>
          <w:sz w:val="14"/>
        </w:rPr>
        <mc:AlternateContent>
          <mc:Choice Requires="wps">
            <w:drawing>
              <wp:anchor distT="0" distB="0" distL="0" distR="0" allowOverlap="1" layoutInCell="1" locked="0" behindDoc="1" simplePos="0" relativeHeight="487591424">
                <wp:simplePos x="0" y="0"/>
                <wp:positionH relativeFrom="page">
                  <wp:posOffset>366395</wp:posOffset>
                </wp:positionH>
                <wp:positionV relativeFrom="paragraph">
                  <wp:posOffset>124156</wp:posOffset>
                </wp:positionV>
                <wp:extent cx="6824345" cy="444500"/>
                <wp:effectExtent l="0" t="0" r="0" b="0"/>
                <wp:wrapTopAndBottom/>
                <wp:docPr id="23" name="Group 23"/>
                <wp:cNvGraphicFramePr>
                  <a:graphicFrameLocks/>
                </wp:cNvGraphicFramePr>
                <a:graphic>
                  <a:graphicData uri="http://schemas.microsoft.com/office/word/2010/wordprocessingGroup">
                    <wpg:wgp>
                      <wpg:cNvPr id="23" name="Group 23"/>
                      <wpg:cNvGrpSpPr/>
                      <wpg:grpSpPr>
                        <a:xfrm>
                          <a:off x="0" y="0"/>
                          <a:ext cx="6824345" cy="444500"/>
                          <a:chExt cx="6824345" cy="444500"/>
                        </a:xfrm>
                      </wpg:grpSpPr>
                      <pic:pic>
                        <pic:nvPicPr>
                          <pic:cNvPr id="24" name="Image 24"/>
                          <pic:cNvPicPr/>
                        </pic:nvPicPr>
                        <pic:blipFill>
                          <a:blip r:embed="rId9" cstate="print"/>
                          <a:stretch>
                            <a:fillRect/>
                          </a:stretch>
                        </pic:blipFill>
                        <pic:spPr>
                          <a:xfrm>
                            <a:off x="0" y="0"/>
                            <a:ext cx="6824345" cy="444500"/>
                          </a:xfrm>
                          <a:prstGeom prst="rect">
                            <a:avLst/>
                          </a:prstGeom>
                        </pic:spPr>
                      </pic:pic>
                      <wps:wsp>
                        <wps:cNvPr id="25" name="Textbox 25"/>
                        <wps:cNvSpPr txBox="1"/>
                        <wps:spPr>
                          <a:xfrm>
                            <a:off x="0" y="0"/>
                            <a:ext cx="6824345" cy="444500"/>
                          </a:xfrm>
                          <a:prstGeom prst="rect">
                            <a:avLst/>
                          </a:prstGeom>
                        </wps:spPr>
                        <wps:txbx>
                          <w:txbxContent>
                            <w:p>
                              <w:pPr>
                                <w:spacing w:before="218"/>
                                <w:ind w:left="57" w:right="54"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7904/2024</w:t>
                              </w:r>
                            </w:p>
                          </w:txbxContent>
                        </wps:txbx>
                        <wps:bodyPr wrap="square" lIns="0" tIns="0" rIns="0" bIns="0" rtlCol="0">
                          <a:noAutofit/>
                        </wps:bodyPr>
                      </wps:wsp>
                    </wpg:wgp>
                  </a:graphicData>
                </a:graphic>
              </wp:anchor>
            </w:drawing>
          </mc:Choice>
          <mc:Fallback>
            <w:pict>
              <v:group style="position:absolute;margin-left:28.85pt;margin-top:9.776136pt;width:537.35pt;height:35pt;mso-position-horizontal-relative:page;mso-position-vertical-relative:paragraph;z-index:-15725056;mso-wrap-distance-left:0;mso-wrap-distance-right:0" id="docshapegroup22" coordorigin="577,196" coordsize="10747,700">
                <v:shape style="position:absolute;left:577;top:195;width:10747;height:700" type="#_x0000_t75" id="docshape23" stroked="false">
                  <v:imagedata r:id="rId9" o:title=""/>
                </v:shape>
                <v:shape style="position:absolute;left:577;top:195;width:10747;height:700" type="#_x0000_t202" id="docshape24" filled="false" stroked="false">
                  <v:textbox inset="0,0,0,0">
                    <w:txbxContent>
                      <w:p>
                        <w:pPr>
                          <w:spacing w:before="218"/>
                          <w:ind w:left="57" w:right="54"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7904/2024</w:t>
                        </w:r>
                      </w:p>
                    </w:txbxContent>
                  </v:textbox>
                  <w10:wrap type="none"/>
                </v:shape>
                <w10:wrap type="topAndBottom"/>
              </v:group>
            </w:pict>
          </mc:Fallback>
        </mc:AlternateContent>
      </w:r>
    </w:p>
    <w:p>
      <w:pPr>
        <w:pStyle w:val="Heading1"/>
        <w:spacing w:before="186"/>
        <w:ind w:right="446"/>
      </w:pPr>
      <w:r>
        <w:rPr/>
        <w:t>PRESTAÇÃO DE CONTAS DE GESTÃO. DIVERGENCIA ENTRE REGISTROS NA TABELA DE INVENTÁRIO</w:t>
      </w:r>
      <w:r>
        <w:rPr>
          <w:spacing w:val="-3"/>
        </w:rPr>
        <w:t> </w:t>
      </w:r>
      <w:r>
        <w:rPr/>
        <w:t>DOS</w:t>
      </w:r>
      <w:r>
        <w:rPr>
          <w:spacing w:val="-6"/>
        </w:rPr>
        <w:t> </w:t>
      </w:r>
      <w:r>
        <w:rPr/>
        <w:t>BENS</w:t>
      </w:r>
      <w:r>
        <w:rPr>
          <w:spacing w:val="-5"/>
        </w:rPr>
        <w:t> </w:t>
      </w:r>
      <w:r>
        <w:rPr/>
        <w:t>PATRIMONIAIS</w:t>
      </w:r>
      <w:r>
        <w:rPr>
          <w:spacing w:val="-3"/>
        </w:rPr>
        <w:t> </w:t>
      </w:r>
      <w:r>
        <w:rPr/>
        <w:t>E</w:t>
      </w:r>
      <w:r>
        <w:rPr>
          <w:spacing w:val="-5"/>
        </w:rPr>
        <w:t> </w:t>
      </w:r>
      <w:r>
        <w:rPr/>
        <w:t>BALANCETE</w:t>
      </w:r>
      <w:r>
        <w:rPr>
          <w:spacing w:val="-4"/>
        </w:rPr>
        <w:t> </w:t>
      </w:r>
      <w:r>
        <w:rPr/>
        <w:t>CONTÁBIL.</w:t>
      </w:r>
      <w:r>
        <w:rPr>
          <w:spacing w:val="-3"/>
        </w:rPr>
        <w:t> </w:t>
      </w:r>
      <w:r>
        <w:rPr/>
        <w:t>RESPONSABILIDADE</w:t>
      </w:r>
      <w:r>
        <w:rPr>
          <w:spacing w:val="-6"/>
        </w:rPr>
        <w:t> </w:t>
      </w:r>
      <w:r>
        <w:rPr/>
        <w:t>DO CONTADOR. HIPÓTESES DE RESPONSABILIZAÇÃO. REGULARES COM RESSALVA. MULTA.</w:t>
      </w:r>
    </w:p>
    <w:p>
      <w:pPr>
        <w:pStyle w:val="BodyText"/>
        <w:spacing w:before="207"/>
        <w:ind w:left="299" w:right="455"/>
        <w:jc w:val="both"/>
      </w:pPr>
      <w:r>
        <w:rPr>
          <w:color w:val="1B1B1B"/>
        </w:rPr>
        <w:t>A Prestação de Contas de Gestão da Fundação de Ciência, Tecnologia e Inovação de Fortaleza - CITINOVA, demonstrou divergencia entre registros na tabela de inventário dos bens patrimoniais e balancetes contabeis, constatando impropriedades de natureza formal não grave, sem dano ao erário. Foi considerado responsável o Contador,</w:t>
      </w:r>
      <w:r>
        <w:rPr>
          <w:color w:val="1B1B1B"/>
          <w:spacing w:val="40"/>
        </w:rPr>
        <w:t> </w:t>
      </w:r>
      <w:r>
        <w:rPr>
          <w:color w:val="1B1B1B"/>
        </w:rPr>
        <w:t>cupante de cargo comissionado, devendo respondere de forma solidária pelos atos praticados pelo gestor, sendo passivel de multa/ou débito. Em igual sentido, quando do julgamento do processo nº 05593/2024-0 (PCS), a relatora adotou os fundamentos expostos pelo MPC, parecer da Procuradora Leilyanne Brandão Feitosa, que, quanto à possibilidade de responsabilização do contador se manifestou nos seguintes termos: […] 1 – Se servidor (efetivo ou comissionado),</w:t>
      </w:r>
      <w:r>
        <w:rPr>
          <w:color w:val="1B1B1B"/>
          <w:spacing w:val="-2"/>
        </w:rPr>
        <w:t> </w:t>
      </w:r>
      <w:r>
        <w:rPr>
          <w:color w:val="1B1B1B"/>
        </w:rPr>
        <w:t>responderá,</w:t>
      </w:r>
      <w:r>
        <w:rPr>
          <w:color w:val="1B1B1B"/>
          <w:spacing w:val="-2"/>
        </w:rPr>
        <w:t> </w:t>
      </w:r>
      <w:r>
        <w:rPr>
          <w:color w:val="1B1B1B"/>
        </w:rPr>
        <w:t>conforme</w:t>
      </w:r>
      <w:r>
        <w:rPr>
          <w:color w:val="1B1B1B"/>
          <w:spacing w:val="-2"/>
        </w:rPr>
        <w:t> </w:t>
      </w:r>
      <w:r>
        <w:rPr>
          <w:color w:val="1B1B1B"/>
        </w:rPr>
        <w:t>for</w:t>
      </w:r>
      <w:r>
        <w:rPr>
          <w:color w:val="1B1B1B"/>
          <w:spacing w:val="-3"/>
        </w:rPr>
        <w:t> </w:t>
      </w:r>
      <w:r>
        <w:rPr>
          <w:color w:val="1B1B1B"/>
        </w:rPr>
        <w:t>o</w:t>
      </w:r>
      <w:r>
        <w:rPr>
          <w:color w:val="1B1B1B"/>
          <w:spacing w:val="-3"/>
        </w:rPr>
        <w:t> </w:t>
      </w:r>
      <w:r>
        <w:rPr>
          <w:color w:val="1B1B1B"/>
        </w:rPr>
        <w:t>caso,</w:t>
      </w:r>
      <w:r>
        <w:rPr>
          <w:color w:val="1B1B1B"/>
          <w:spacing w:val="-2"/>
        </w:rPr>
        <w:t> </w:t>
      </w:r>
      <w:r>
        <w:rPr>
          <w:color w:val="1B1B1B"/>
        </w:rPr>
        <w:t>de</w:t>
      </w:r>
      <w:r>
        <w:rPr>
          <w:color w:val="1B1B1B"/>
          <w:spacing w:val="-3"/>
        </w:rPr>
        <w:t> </w:t>
      </w:r>
      <w:r>
        <w:rPr>
          <w:color w:val="1B1B1B"/>
        </w:rPr>
        <w:t>forma</w:t>
      </w:r>
      <w:r>
        <w:rPr>
          <w:color w:val="1B1B1B"/>
          <w:spacing w:val="-3"/>
        </w:rPr>
        <w:t> </w:t>
      </w:r>
      <w:r>
        <w:rPr>
          <w:color w:val="1B1B1B"/>
        </w:rPr>
        <w:t>pessoal</w:t>
      </w:r>
      <w:r>
        <w:rPr>
          <w:color w:val="1B1B1B"/>
          <w:spacing w:val="-3"/>
        </w:rPr>
        <w:t> </w:t>
      </w:r>
      <w:r>
        <w:rPr>
          <w:color w:val="1B1B1B"/>
        </w:rPr>
        <w:t>ou</w:t>
      </w:r>
      <w:r>
        <w:rPr>
          <w:color w:val="1B1B1B"/>
          <w:spacing w:val="-2"/>
        </w:rPr>
        <w:t> </w:t>
      </w:r>
      <w:r>
        <w:rPr>
          <w:color w:val="1B1B1B"/>
        </w:rPr>
        <w:t>solidariamente</w:t>
      </w:r>
      <w:r>
        <w:rPr>
          <w:color w:val="1B1B1B"/>
          <w:spacing w:val="-2"/>
        </w:rPr>
        <w:t> </w:t>
      </w:r>
      <w:r>
        <w:rPr>
          <w:color w:val="1B1B1B"/>
        </w:rPr>
        <w:t>com</w:t>
      </w:r>
      <w:r>
        <w:rPr>
          <w:color w:val="1B1B1B"/>
          <w:spacing w:val="-3"/>
        </w:rPr>
        <w:t> </w:t>
      </w:r>
      <w:r>
        <w:rPr>
          <w:color w:val="1B1B1B"/>
        </w:rPr>
        <w:t>o</w:t>
      </w:r>
      <w:r>
        <w:rPr>
          <w:color w:val="1B1B1B"/>
          <w:spacing w:val="-2"/>
        </w:rPr>
        <w:t> </w:t>
      </w:r>
      <w:r>
        <w:rPr>
          <w:color w:val="1B1B1B"/>
        </w:rPr>
        <w:t>gestor</w:t>
      </w:r>
      <w:r>
        <w:rPr>
          <w:color w:val="1B1B1B"/>
          <w:spacing w:val="-3"/>
        </w:rPr>
        <w:t> </w:t>
      </w:r>
      <w:r>
        <w:rPr>
          <w:color w:val="1B1B1B"/>
        </w:rPr>
        <w:t>no</w:t>
      </w:r>
      <w:r>
        <w:rPr>
          <w:color w:val="1B1B1B"/>
          <w:spacing w:val="-3"/>
        </w:rPr>
        <w:t> </w:t>
      </w:r>
      <w:r>
        <w:rPr>
          <w:color w:val="1B1B1B"/>
        </w:rPr>
        <w:t>âmbito</w:t>
      </w:r>
      <w:r>
        <w:rPr>
          <w:color w:val="1B1B1B"/>
          <w:spacing w:val="-2"/>
        </w:rPr>
        <w:t> </w:t>
      </w:r>
      <w:r>
        <w:rPr>
          <w:color w:val="1B1B1B"/>
        </w:rPr>
        <w:t>de</w:t>
      </w:r>
      <w:r>
        <w:rPr>
          <w:color w:val="1B1B1B"/>
          <w:spacing w:val="-2"/>
        </w:rPr>
        <w:t> </w:t>
      </w:r>
      <w:r>
        <w:rPr>
          <w:color w:val="1B1B1B"/>
        </w:rPr>
        <w:t>TCE</w:t>
      </w:r>
      <w:r>
        <w:rPr>
          <w:color w:val="1B1B1B"/>
          <w:spacing w:val="-2"/>
        </w:rPr>
        <w:t> </w:t>
      </w:r>
      <w:r>
        <w:rPr>
          <w:color w:val="1B1B1B"/>
        </w:rPr>
        <w:t>ou de PCS, tanto por irregularidades administrativas como por dano ao erário, podendo o tribunal julgar as respectivas contas, mas apenas no caso de TCE, e, conforme o caso, aplicar multa e/ou imputar débito, à semelhança do que</w:t>
      </w:r>
      <w:r>
        <w:rPr>
          <w:color w:val="1B1B1B"/>
          <w:spacing w:val="40"/>
        </w:rPr>
        <w:t> </w:t>
      </w:r>
      <w:r>
        <w:rPr>
          <w:color w:val="1B1B1B"/>
        </w:rPr>
        <w:t>ocorre com os membros da CPL, pregoeiro e engenheiros quando chamados ao feito para responder por falhas a eles atribuídas; 2 – Se agente privado contratado (um terceiro, pessoa física ou jurídica), no caso de não ter dado causa a dano ao erário, não responderá perante este tribunal, cabendo ao órgão contratante avaliar a respectiva prestação de serviços em face das normas contratuais pactuadas e analisar a possibilidade de responsabilização daquele, sem prejuízo desta</w:t>
      </w:r>
      <w:r>
        <w:rPr>
          <w:color w:val="1B1B1B"/>
          <w:spacing w:val="-1"/>
        </w:rPr>
        <w:t> </w:t>
      </w:r>
      <w:r>
        <w:rPr>
          <w:color w:val="1B1B1B"/>
        </w:rPr>
        <w:t>Corte de Contas fazer a</w:t>
      </w:r>
      <w:r>
        <w:rPr>
          <w:color w:val="1B1B1B"/>
          <w:spacing w:val="-1"/>
        </w:rPr>
        <w:t> </w:t>
      </w:r>
      <w:r>
        <w:rPr>
          <w:color w:val="1B1B1B"/>
        </w:rPr>
        <w:t>devida comunicação ao profissional e</w:t>
      </w:r>
      <w:r>
        <w:rPr>
          <w:color w:val="1B1B1B"/>
          <w:spacing w:val="-1"/>
        </w:rPr>
        <w:t> </w:t>
      </w:r>
      <w:r>
        <w:rPr>
          <w:color w:val="1B1B1B"/>
        </w:rPr>
        <w:t>respectivo Conselho de Classe</w:t>
      </w:r>
      <w:r>
        <w:rPr>
          <w:color w:val="1B1B1B"/>
          <w:spacing w:val="-1"/>
        </w:rPr>
        <w:t> </w:t>
      </w:r>
      <w:r>
        <w:rPr>
          <w:color w:val="1B1B1B"/>
        </w:rPr>
        <w:t>acerca das falhas e necessidade de adoção de medidas corretivas e de fiscalização de conduta; e 3 – Se agente privado cotratado (um terceiro, pessoa física ou jurídica), na hipótese de ter provocado dano ao erário, responderá perante este tribunal, conforme for o caso, de forma pessoal ou solidariamente com o gestor, no âmbito de TCE, para a apuração isolada do respectivo prejuízo e possível julgamento das contas e imputação. Ademais, com o fim exemplificativo, apontam-se processos julgados por este tribunal em que a responsabilização/julgamento das contas de contadores foram apreciados: Processos nºs 34001/2018-3, 21406/2018-8, 08089/2021-4.</w:t>
      </w:r>
      <w:r>
        <w:rPr>
          <w:color w:val="1B1B1B"/>
          <w:spacing w:val="40"/>
        </w:rPr>
        <w:t> </w:t>
      </w:r>
      <w:r>
        <w:rPr>
          <w:color w:val="1B1B1B"/>
        </w:rPr>
        <w:t>A Primeira Cãmara Virtual do Tribunal de Contas do Estado do Ceará, por unanimidade de votos, julgou as contas regulares com ressalvas e multa.</w:t>
      </w:r>
    </w:p>
    <w:p>
      <w:pPr>
        <w:spacing w:before="207"/>
        <w:ind w:left="299" w:right="0" w:firstLine="0"/>
        <w:jc w:val="both"/>
        <w:rPr>
          <w:sz w:val="18"/>
        </w:rPr>
      </w:pPr>
      <w:r>
        <w:rPr>
          <w:sz w:val="18"/>
        </w:rPr>
        <w:t>Processo</w:t>
      </w:r>
      <w:r>
        <w:rPr>
          <w:spacing w:val="-4"/>
          <w:sz w:val="18"/>
        </w:rPr>
        <w:t> </w:t>
      </w:r>
      <w:r>
        <w:rPr>
          <w:sz w:val="18"/>
        </w:rPr>
        <w:t>n.º</w:t>
      </w:r>
      <w:r>
        <w:rPr>
          <w:spacing w:val="-4"/>
          <w:sz w:val="18"/>
        </w:rPr>
        <w:t> </w:t>
      </w:r>
      <w:r>
        <w:rPr>
          <w:sz w:val="18"/>
        </w:rPr>
        <w:t>05545/2024-0.</w:t>
      </w:r>
      <w:r>
        <w:rPr>
          <w:spacing w:val="65"/>
          <w:w w:val="150"/>
          <w:sz w:val="18"/>
        </w:rPr>
        <w:t> </w:t>
      </w:r>
      <w:r>
        <w:rPr>
          <w:sz w:val="18"/>
        </w:rPr>
        <w:t>Relator(a):</w:t>
      </w:r>
      <w:r>
        <w:rPr>
          <w:spacing w:val="-4"/>
          <w:sz w:val="18"/>
        </w:rPr>
        <w:t> </w:t>
      </w:r>
      <w:r>
        <w:rPr>
          <w:sz w:val="18"/>
        </w:rPr>
        <w:t>Cons(a).</w:t>
      </w:r>
      <w:r>
        <w:rPr>
          <w:spacing w:val="-3"/>
          <w:sz w:val="18"/>
        </w:rPr>
        <w:t> </w:t>
      </w:r>
      <w:r>
        <w:rPr>
          <w:sz w:val="18"/>
        </w:rPr>
        <w:t>Patricia</w:t>
      </w:r>
      <w:r>
        <w:rPr>
          <w:spacing w:val="-2"/>
          <w:sz w:val="18"/>
        </w:rPr>
        <w:t> </w:t>
      </w:r>
      <w:r>
        <w:rPr>
          <w:sz w:val="18"/>
        </w:rPr>
        <w:t>Saboya.</w:t>
      </w:r>
      <w:r>
        <w:rPr>
          <w:spacing w:val="67"/>
          <w:sz w:val="18"/>
        </w:rPr>
        <w:t>  </w:t>
      </w:r>
      <w:r>
        <w:rPr>
          <w:sz w:val="18"/>
        </w:rPr>
        <w:t>Sessão</w:t>
      </w:r>
      <w:r>
        <w:rPr>
          <w:spacing w:val="-4"/>
          <w:sz w:val="18"/>
        </w:rPr>
        <w:t> </w:t>
      </w:r>
      <w:r>
        <w:rPr>
          <w:sz w:val="18"/>
        </w:rPr>
        <w:t>de</w:t>
      </w:r>
      <w:r>
        <w:rPr>
          <w:spacing w:val="-3"/>
          <w:sz w:val="18"/>
        </w:rPr>
        <w:t> </w:t>
      </w:r>
      <w:r>
        <w:rPr>
          <w:sz w:val="18"/>
        </w:rPr>
        <w:t>04/11/2024.</w:t>
      </w:r>
      <w:r>
        <w:rPr>
          <w:spacing w:val="72"/>
          <w:w w:val="150"/>
          <w:sz w:val="18"/>
        </w:rPr>
        <w:t> </w:t>
      </w:r>
      <w:r>
        <w:rPr>
          <w:sz w:val="18"/>
        </w:rPr>
        <w:t>Ata</w:t>
      </w:r>
      <w:r>
        <w:rPr>
          <w:spacing w:val="-4"/>
          <w:sz w:val="18"/>
        </w:rPr>
        <w:t> </w:t>
      </w:r>
      <w:r>
        <w:rPr>
          <w:sz w:val="18"/>
        </w:rPr>
        <w:t>n.º</w:t>
      </w:r>
      <w:r>
        <w:rPr>
          <w:spacing w:val="-4"/>
          <w:sz w:val="18"/>
        </w:rPr>
        <w:t> </w:t>
      </w:r>
      <w:r>
        <w:rPr>
          <w:sz w:val="18"/>
        </w:rPr>
        <w:t>217/2024.</w:t>
      </w:r>
      <w:r>
        <w:rPr>
          <w:spacing w:val="65"/>
          <w:w w:val="150"/>
          <w:sz w:val="18"/>
        </w:rPr>
        <w:t> </w:t>
      </w:r>
      <w:r>
        <w:rPr>
          <w:sz w:val="18"/>
        </w:rPr>
        <w:t>DO:</w:t>
      </w:r>
      <w:r>
        <w:rPr>
          <w:spacing w:val="-4"/>
          <w:sz w:val="18"/>
        </w:rPr>
        <w:t> </w:t>
      </w:r>
      <w:r>
        <w:rPr>
          <w:spacing w:val="-2"/>
          <w:sz w:val="18"/>
        </w:rPr>
        <w:t>25/11/2024.</w:t>
      </w:r>
    </w:p>
    <w:p>
      <w:pPr>
        <w:spacing w:after="0"/>
        <w:jc w:val="both"/>
        <w:rPr>
          <w:sz w:val="18"/>
        </w:rPr>
        <w:sectPr>
          <w:pgSz w:w="11910" w:h="16840"/>
          <w:pgMar w:header="0" w:footer="761" w:top="1920" w:bottom="960" w:left="283" w:right="141"/>
        </w:sectPr>
      </w:pPr>
    </w:p>
    <w:p>
      <w:pPr>
        <w:pStyle w:val="BodyText"/>
        <w:spacing w:before="9"/>
        <w:rPr>
          <w:sz w:val="11"/>
        </w:rPr>
      </w:pPr>
    </w:p>
    <w:p>
      <w:pPr>
        <w:pStyle w:val="BodyText"/>
        <w:ind w:left="294"/>
      </w:pPr>
      <w:r>
        <w:rPr/>
        <mc:AlternateContent>
          <mc:Choice Requires="wps">
            <w:drawing>
              <wp:inline distT="0" distB="0" distL="0" distR="0">
                <wp:extent cx="6824345" cy="444500"/>
                <wp:effectExtent l="0" t="0" r="0" b="3175"/>
                <wp:docPr id="26" name="Group 26"/>
                <wp:cNvGraphicFramePr>
                  <a:graphicFrameLocks/>
                </wp:cNvGraphicFramePr>
                <a:graphic>
                  <a:graphicData uri="http://schemas.microsoft.com/office/word/2010/wordprocessingGroup">
                    <wpg:wgp>
                      <wpg:cNvPr id="26" name="Group 26"/>
                      <wpg:cNvGrpSpPr/>
                      <wpg:grpSpPr>
                        <a:xfrm>
                          <a:off x="0" y="0"/>
                          <a:ext cx="6824345" cy="444500"/>
                          <a:chExt cx="6824345" cy="444500"/>
                        </a:xfrm>
                      </wpg:grpSpPr>
                      <pic:pic>
                        <pic:nvPicPr>
                          <pic:cNvPr id="27" name="Image 27"/>
                          <pic:cNvPicPr/>
                        </pic:nvPicPr>
                        <pic:blipFill>
                          <a:blip r:embed="rId9" cstate="print"/>
                          <a:stretch>
                            <a:fillRect/>
                          </a:stretch>
                        </pic:blipFill>
                        <pic:spPr>
                          <a:xfrm>
                            <a:off x="0" y="0"/>
                            <a:ext cx="6824345" cy="444500"/>
                          </a:xfrm>
                          <a:prstGeom prst="rect">
                            <a:avLst/>
                          </a:prstGeom>
                        </pic:spPr>
                      </pic:pic>
                      <wps:wsp>
                        <wps:cNvPr id="28" name="Textbox 28"/>
                        <wps:cNvSpPr txBox="1"/>
                        <wps:spPr>
                          <a:xfrm>
                            <a:off x="0" y="0"/>
                            <a:ext cx="6824345" cy="444500"/>
                          </a:xfrm>
                          <a:prstGeom prst="rect">
                            <a:avLst/>
                          </a:prstGeom>
                        </wps:spPr>
                        <wps:txbx>
                          <w:txbxContent>
                            <w:p>
                              <w:pPr>
                                <w:spacing w:line="240" w:lineRule="auto" w:before="10"/>
                                <w:rPr>
                                  <w:sz w:val="22"/>
                                </w:rPr>
                              </w:pPr>
                            </w:p>
                            <w:p>
                              <w:pPr>
                                <w:spacing w:before="0"/>
                                <w:ind w:left="57" w:right="54"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8371/2024</w:t>
                              </w:r>
                            </w:p>
                          </w:txbxContent>
                        </wps:txbx>
                        <wps:bodyPr wrap="square" lIns="0" tIns="0" rIns="0" bIns="0" rtlCol="0">
                          <a:noAutofit/>
                        </wps:bodyPr>
                      </wps:wsp>
                    </wpg:wgp>
                  </a:graphicData>
                </a:graphic>
              </wp:inline>
            </w:drawing>
          </mc:Choice>
          <mc:Fallback>
            <w:pict>
              <v:group style="width:537.35pt;height:35pt;mso-position-horizontal-relative:char;mso-position-vertical-relative:line" id="docshapegroup25" coordorigin="0,0" coordsize="10747,700">
                <v:shape style="position:absolute;left:0;top:0;width:10747;height:700" type="#_x0000_t75" id="docshape26" stroked="false">
                  <v:imagedata r:id="rId9" o:title=""/>
                </v:shape>
                <v:shape style="position:absolute;left:0;top:0;width:10747;height:700" type="#_x0000_t202" id="docshape27" filled="false" stroked="false">
                  <v:textbox inset="0,0,0,0">
                    <w:txbxContent>
                      <w:p>
                        <w:pPr>
                          <w:spacing w:line="240" w:lineRule="auto" w:before="10"/>
                          <w:rPr>
                            <w:sz w:val="22"/>
                          </w:rPr>
                        </w:pPr>
                      </w:p>
                      <w:p>
                        <w:pPr>
                          <w:spacing w:before="0"/>
                          <w:ind w:left="57" w:right="54"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8371/2024</w:t>
                        </w:r>
                      </w:p>
                    </w:txbxContent>
                  </v:textbox>
                  <w10:wrap type="none"/>
                </v:shape>
              </v:group>
            </w:pict>
          </mc:Fallback>
        </mc:AlternateContent>
      </w:r>
      <w:r>
        <w:rPr/>
      </w:r>
    </w:p>
    <w:p>
      <w:pPr>
        <w:pStyle w:val="Heading1"/>
        <w:spacing w:before="221"/>
      </w:pPr>
      <w:r>
        <w:rPr/>
        <w:t>APOSENTADORIA. SEFAZ. SERVIDOR PÚBLICO. ADICIONAL DE PERICULOSIDADE. ADICIONAL DE INSALUBRIDADE. GRATIFICAÇÃO DE RISCO DE VIDA OU SAÚDE. EC 103/2019. INCORPORAÇÃO. DIVERGÊNCIA DE ENTENDIMENTO. POSSIBILIDADE. ATO </w:t>
      </w:r>
      <w:r>
        <w:rPr>
          <w:spacing w:val="-2"/>
        </w:rPr>
        <w:t>REGISTRADO.</w:t>
      </w:r>
    </w:p>
    <w:p>
      <w:pPr>
        <w:pStyle w:val="BodyText"/>
        <w:spacing w:before="207"/>
        <w:ind w:left="299" w:right="439"/>
        <w:jc w:val="both"/>
      </w:pPr>
      <w:r>
        <w:rPr/>
        <w:t>Na vigência da ordem constitucional anterior à Emenda Constitucional nº 103/2019, a jurisprudência do Supremo Tribunal Federal sedimentou-se no sentido de que era possível incorporar aos proventos da inatividade as gratificações devidas pro labore faciendo, de que é exemplo a Gratificação de Risco de Vida ou de Saúde dos servidores da SEFAZ, exigindo,</w:t>
      </w:r>
      <w:r>
        <w:rPr>
          <w:spacing w:val="40"/>
        </w:rPr>
        <w:t> </w:t>
      </w:r>
      <w:r>
        <w:rPr/>
        <w:t>para</w:t>
      </w:r>
      <w:r>
        <w:rPr>
          <w:spacing w:val="40"/>
        </w:rPr>
        <w:t> </w:t>
      </w:r>
      <w:r>
        <w:rPr/>
        <w:t>tanto,</w:t>
      </w:r>
      <w:r>
        <w:rPr>
          <w:spacing w:val="40"/>
        </w:rPr>
        <w:t> </w:t>
      </w:r>
      <w:r>
        <w:rPr/>
        <w:t>apenas</w:t>
      </w:r>
      <w:r>
        <w:rPr>
          <w:spacing w:val="40"/>
        </w:rPr>
        <w:t> </w:t>
      </w:r>
      <w:r>
        <w:rPr/>
        <w:t>que</w:t>
      </w:r>
      <w:r>
        <w:rPr>
          <w:spacing w:val="40"/>
        </w:rPr>
        <w:t> </w:t>
      </w:r>
      <w:r>
        <w:rPr/>
        <w:t>a</w:t>
      </w:r>
      <w:r>
        <w:rPr>
          <w:spacing w:val="40"/>
        </w:rPr>
        <w:t> </w:t>
      </w:r>
      <w:r>
        <w:rPr/>
        <w:t>legislação</w:t>
      </w:r>
      <w:r>
        <w:rPr>
          <w:spacing w:val="40"/>
        </w:rPr>
        <w:t> </w:t>
      </w:r>
      <w:r>
        <w:rPr/>
        <w:t>do</w:t>
      </w:r>
      <w:r>
        <w:rPr>
          <w:spacing w:val="40"/>
        </w:rPr>
        <w:t> </w:t>
      </w:r>
      <w:r>
        <w:rPr/>
        <w:t>ente</w:t>
      </w:r>
      <w:r>
        <w:rPr>
          <w:spacing w:val="40"/>
        </w:rPr>
        <w:t> </w:t>
      </w:r>
      <w:r>
        <w:rPr/>
        <w:t>a</w:t>
      </w:r>
      <w:r>
        <w:rPr>
          <w:spacing w:val="40"/>
        </w:rPr>
        <w:t> </w:t>
      </w:r>
      <w:r>
        <w:rPr/>
        <w:t>que</w:t>
      </w:r>
      <w:r>
        <w:rPr>
          <w:spacing w:val="40"/>
        </w:rPr>
        <w:t> </w:t>
      </w:r>
      <w:r>
        <w:rPr/>
        <w:t>pertencesse</w:t>
      </w:r>
      <w:r>
        <w:rPr>
          <w:spacing w:val="40"/>
        </w:rPr>
        <w:t> </w:t>
      </w:r>
      <w:r>
        <w:rPr/>
        <w:t>o</w:t>
      </w:r>
      <w:r>
        <w:rPr>
          <w:spacing w:val="40"/>
        </w:rPr>
        <w:t> </w:t>
      </w:r>
      <w:r>
        <w:rPr/>
        <w:t>servidor</w:t>
      </w:r>
      <w:r>
        <w:rPr>
          <w:spacing w:val="40"/>
        </w:rPr>
        <w:t> </w:t>
      </w:r>
      <w:r>
        <w:rPr/>
        <w:t>previsse</w:t>
      </w:r>
      <w:r>
        <w:rPr>
          <w:spacing w:val="40"/>
        </w:rPr>
        <w:t> </w:t>
      </w:r>
      <w:r>
        <w:rPr/>
        <w:t>a</w:t>
      </w:r>
      <w:r>
        <w:rPr>
          <w:spacing w:val="40"/>
        </w:rPr>
        <w:t> </w:t>
      </w:r>
      <w:r>
        <w:rPr/>
        <w:t>incorporação. Existência de previsão em legislação estadual sobre a matéria. Recebimento da gratificação, com incidência de contribuição previdenciária, por mais de cinco anos. O Pleno Virtual do Tribunal de Contas do Estado do Ceará,</w:t>
      </w:r>
      <w:r>
        <w:rPr>
          <w:spacing w:val="40"/>
        </w:rPr>
        <w:t> </w:t>
      </w:r>
      <w:r>
        <w:rPr/>
        <w:t>por unanimidade de votos, registrou o ato de aposentadoria. Deu ciência desta decisão à Diretoria de Atos de Registro I, para que siga a diretriz jurídica, ora fixada, na instrução dos demais processos de aposentadoria dos servidores da Secretaria da Fazenda – SEFAZ que se encontrem na mesma situação destes autos, até que sobrevenha novo posicionamento do Supremo Tribunal Federal sobre o tema.</w:t>
      </w:r>
    </w:p>
    <w:p>
      <w:pPr>
        <w:spacing w:before="207"/>
        <w:ind w:left="299" w:right="0" w:firstLine="0"/>
        <w:jc w:val="both"/>
        <w:rPr>
          <w:sz w:val="18"/>
        </w:rPr>
      </w:pPr>
      <w:r>
        <w:rPr>
          <w:sz w:val="18"/>
        </w:rPr>
        <w:t>Processo</w:t>
      </w:r>
      <w:r>
        <w:rPr>
          <w:spacing w:val="-4"/>
          <w:sz w:val="18"/>
        </w:rPr>
        <w:t> </w:t>
      </w:r>
      <w:r>
        <w:rPr>
          <w:sz w:val="18"/>
        </w:rPr>
        <w:t>n.º</w:t>
      </w:r>
      <w:r>
        <w:rPr>
          <w:spacing w:val="-4"/>
          <w:sz w:val="18"/>
        </w:rPr>
        <w:t> </w:t>
      </w:r>
      <w:r>
        <w:rPr>
          <w:sz w:val="18"/>
        </w:rPr>
        <w:t>22209/2024-2.</w:t>
      </w:r>
      <w:r>
        <w:rPr>
          <w:spacing w:val="66"/>
          <w:w w:val="150"/>
          <w:sz w:val="18"/>
        </w:rPr>
        <w:t> </w:t>
      </w:r>
      <w:r>
        <w:rPr>
          <w:sz w:val="18"/>
        </w:rPr>
        <w:t>Relator(a):</w:t>
      </w:r>
      <w:r>
        <w:rPr>
          <w:spacing w:val="-4"/>
          <w:sz w:val="18"/>
        </w:rPr>
        <w:t> </w:t>
      </w:r>
      <w:r>
        <w:rPr>
          <w:sz w:val="18"/>
        </w:rPr>
        <w:t>Cons(a).</w:t>
      </w:r>
      <w:r>
        <w:rPr>
          <w:spacing w:val="-3"/>
          <w:sz w:val="18"/>
        </w:rPr>
        <w:t> </w:t>
      </w:r>
      <w:r>
        <w:rPr>
          <w:sz w:val="18"/>
        </w:rPr>
        <w:t>Valdomiro</w:t>
      </w:r>
      <w:r>
        <w:rPr>
          <w:spacing w:val="-2"/>
          <w:sz w:val="18"/>
        </w:rPr>
        <w:t> </w:t>
      </w:r>
      <w:r>
        <w:rPr>
          <w:sz w:val="18"/>
        </w:rPr>
        <w:t>Távora.</w:t>
      </w:r>
      <w:r>
        <w:rPr>
          <w:spacing w:val="44"/>
          <w:sz w:val="18"/>
        </w:rPr>
        <w:t>  </w:t>
      </w:r>
      <w:r>
        <w:rPr>
          <w:sz w:val="18"/>
        </w:rPr>
        <w:t>Sessão</w:t>
      </w:r>
      <w:r>
        <w:rPr>
          <w:spacing w:val="-3"/>
          <w:sz w:val="18"/>
        </w:rPr>
        <w:t> </w:t>
      </w:r>
      <w:r>
        <w:rPr>
          <w:sz w:val="18"/>
        </w:rPr>
        <w:t>de</w:t>
      </w:r>
      <w:r>
        <w:rPr>
          <w:spacing w:val="-4"/>
          <w:sz w:val="18"/>
        </w:rPr>
        <w:t> </w:t>
      </w:r>
      <w:r>
        <w:rPr>
          <w:sz w:val="18"/>
        </w:rPr>
        <w:t>18/11/2024.</w:t>
      </w:r>
      <w:r>
        <w:rPr>
          <w:spacing w:val="45"/>
          <w:sz w:val="18"/>
        </w:rPr>
        <w:t>  </w:t>
      </w:r>
      <w:r>
        <w:rPr>
          <w:sz w:val="18"/>
        </w:rPr>
        <w:t>Ata</w:t>
      </w:r>
      <w:r>
        <w:rPr>
          <w:spacing w:val="-4"/>
          <w:sz w:val="18"/>
        </w:rPr>
        <w:t> </w:t>
      </w:r>
      <w:r>
        <w:rPr>
          <w:sz w:val="18"/>
        </w:rPr>
        <w:t>n.º</w:t>
      </w:r>
      <w:r>
        <w:rPr>
          <w:spacing w:val="-3"/>
          <w:sz w:val="18"/>
        </w:rPr>
        <w:t> </w:t>
      </w:r>
      <w:r>
        <w:rPr>
          <w:sz w:val="18"/>
        </w:rPr>
        <w:t>218/2024.</w:t>
      </w:r>
      <w:r>
        <w:rPr>
          <w:spacing w:val="68"/>
          <w:sz w:val="18"/>
        </w:rPr>
        <w:t>  </w:t>
      </w:r>
      <w:r>
        <w:rPr>
          <w:sz w:val="18"/>
        </w:rPr>
        <w:t>DO:</w:t>
      </w:r>
      <w:r>
        <w:rPr>
          <w:spacing w:val="-3"/>
          <w:sz w:val="18"/>
        </w:rPr>
        <w:t> </w:t>
      </w:r>
      <w:r>
        <w:rPr>
          <w:spacing w:val="-2"/>
          <w:sz w:val="18"/>
        </w:rPr>
        <w:t>04/12/2024.</w:t>
      </w:r>
    </w:p>
    <w:sectPr>
      <w:pgSz w:w="11910" w:h="16840"/>
      <w:pgMar w:header="0" w:footer="761" w:top="1920" w:bottom="960" w:left="283"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513088">
          <wp:simplePos x="0" y="0"/>
          <wp:positionH relativeFrom="page">
            <wp:posOffset>17779</wp:posOffset>
          </wp:positionH>
          <wp:positionV relativeFrom="page">
            <wp:posOffset>10081904</wp:posOffset>
          </wp:positionV>
          <wp:extent cx="7541259" cy="58229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541259" cy="582295"/>
                  </a:xfrm>
                  <a:prstGeom prst="rect">
                    <a:avLst/>
                  </a:prstGeom>
                </pic:spPr>
              </pic:pic>
            </a:graphicData>
          </a:graphic>
        </wp:anchor>
      </w:drawing>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0"/>
      <w:szCs w:val="20"/>
      <w:lang w:val="pt-PT" w:eastAsia="en-US" w:bidi="ar-SA"/>
    </w:rPr>
  </w:style>
  <w:style w:styleId="Heading1" w:type="paragraph">
    <w:name w:val="Heading 1"/>
    <w:basedOn w:val="Normal"/>
    <w:uiPriority w:val="1"/>
    <w:qFormat/>
    <w:pPr>
      <w:spacing w:before="1"/>
      <w:ind w:left="299" w:right="450"/>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2025-10-06T13:56:44Z</dcterms:created>
  <dcterms:modified xsi:type="dcterms:W3CDTF">2025-10-06T13:56:44Z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Writer</vt:lpwstr>
  </property>
  <property fmtid="{D5CDD505-2E9C-101B-9397-08002B2CF9AE}" pid="4" name="Producer">
    <vt:lpwstr>LibreOffice 6.3</vt:lpwstr>
  </property>
  <property fmtid="{D5CDD505-2E9C-101B-9397-08002B2CF9AE}" pid="5" name="LastSaved">
    <vt:filetime>2025-03-27T00:00:00Z</vt:filetime>
  </property>
</Properties>
</file>