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rPr>
      </w:pPr>
      <w:r>
        <w:rPr>
          <w:rFonts w:ascii="Times New Roman"/>
        </w:rPr>
        <w:drawing>
          <wp:anchor distT="0" distB="0" distL="0" distR="0" allowOverlap="1" layoutInCell="1" locked="0" behindDoc="0" simplePos="0" relativeHeight="15730176">
            <wp:simplePos x="0" y="0"/>
            <wp:positionH relativeFrom="page">
              <wp:posOffset>0</wp:posOffset>
            </wp:positionH>
            <wp:positionV relativeFrom="page">
              <wp:posOffset>0</wp:posOffset>
            </wp:positionV>
            <wp:extent cx="7560563" cy="1610867"/>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7560563" cy="1610867"/>
                    </a:xfrm>
                    <a:prstGeom prst="rect">
                      <a:avLst/>
                    </a:prstGeom>
                  </pic:spPr>
                </pic:pic>
              </a:graphicData>
            </a:graphic>
          </wp:anchor>
        </w:drawing>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214"/>
        <w:rPr>
          <w:rFonts w:ascii="Times New Roman"/>
        </w:rPr>
      </w:pPr>
    </w:p>
    <w:p>
      <w:pPr>
        <w:pStyle w:val="BodyText"/>
        <w:ind w:left="122"/>
        <w:rPr>
          <w:rFonts w:ascii="Times New Roman"/>
        </w:rPr>
      </w:pPr>
      <w:r>
        <w:rPr>
          <w:rFonts w:ascii="Times New Roman"/>
        </w:rPr>
        <mc:AlternateContent>
          <mc:Choice Requires="wps">
            <w:drawing>
              <wp:inline distT="0" distB="0" distL="0" distR="0">
                <wp:extent cx="6677025" cy="1742439"/>
                <wp:effectExtent l="0" t="0" r="0" b="635"/>
                <wp:docPr id="3" name="Group 3"/>
                <wp:cNvGraphicFramePr>
                  <a:graphicFrameLocks/>
                </wp:cNvGraphicFramePr>
                <a:graphic>
                  <a:graphicData uri="http://schemas.microsoft.com/office/word/2010/wordprocessingGroup">
                    <wpg:wgp>
                      <wpg:cNvPr id="3" name="Group 3"/>
                      <wpg:cNvGrpSpPr/>
                      <wpg:grpSpPr>
                        <a:xfrm>
                          <a:off x="0" y="0"/>
                          <a:ext cx="6677025" cy="1742439"/>
                          <a:chExt cx="6677025" cy="1742439"/>
                        </a:xfrm>
                      </wpg:grpSpPr>
                      <pic:pic>
                        <pic:nvPicPr>
                          <pic:cNvPr id="4" name="Image 4"/>
                          <pic:cNvPicPr/>
                        </pic:nvPicPr>
                        <pic:blipFill>
                          <a:blip r:embed="rId7" cstate="print"/>
                          <a:stretch>
                            <a:fillRect/>
                          </a:stretch>
                        </pic:blipFill>
                        <pic:spPr>
                          <a:xfrm>
                            <a:off x="0" y="0"/>
                            <a:ext cx="6676644" cy="1741932"/>
                          </a:xfrm>
                          <a:prstGeom prst="rect">
                            <a:avLst/>
                          </a:prstGeom>
                        </pic:spPr>
                      </pic:pic>
                      <wps:wsp>
                        <wps:cNvPr id="5" name="Textbox 5"/>
                        <wps:cNvSpPr txBox="1"/>
                        <wps:spPr>
                          <a:xfrm>
                            <a:off x="0" y="0"/>
                            <a:ext cx="6677025" cy="1742439"/>
                          </a:xfrm>
                          <a:prstGeom prst="rect">
                            <a:avLst/>
                          </a:prstGeom>
                        </wps:spPr>
                        <wps:txbx>
                          <w:txbxContent>
                            <w:p>
                              <w:pPr>
                                <w:spacing w:line="268" w:lineRule="auto" w:before="183"/>
                                <w:ind w:left="172" w:right="138" w:firstLine="0"/>
                                <w:jc w:val="both"/>
                                <w:rPr>
                                  <w:rFonts w:ascii="Arial" w:hAnsi="Arial"/>
                                  <w:b/>
                                  <w:sz w:val="24"/>
                                </w:rPr>
                              </w:pPr>
                              <w:r>
                                <w:rPr>
                                  <w:rFonts w:ascii="Arial" w:hAnsi="Arial"/>
                                  <w:b/>
                                  <w:sz w:val="24"/>
                                </w:rPr>
                                <w:t>Este Informativo contém informações de decisões proferidas pelos Colegiados do TCE, que receberam indicação de relevância sob o prisma jurisprudencial no período de novembro de 2023. As informações aqui apresentadas não constituem, todavia, o</w:t>
                              </w:r>
                              <w:r>
                                <w:rPr>
                                  <w:rFonts w:ascii="Arial" w:hAnsi="Arial"/>
                                  <w:b/>
                                  <w:spacing w:val="40"/>
                                  <w:sz w:val="24"/>
                                </w:rPr>
                                <w:t> </w:t>
                              </w:r>
                              <w:r>
                                <w:rPr>
                                  <w:rFonts w:ascii="Arial" w:hAnsi="Arial"/>
                                  <w:b/>
                                  <w:sz w:val="24"/>
                                </w:rPr>
                                <w:t>resumo oficial da decisão proferida pelo Tribunal nem representam, necessariamente, o posicionamento prevalente do TCE. O objetivo é facilitar ao interessado o acompanhamento dos acórdãos/resoluções mais importantes do Tribunal. Para aprofundamento, o leitor pode acessar o inteiro teor das deliberações clicando em cima do número do processo.</w:t>
                              </w:r>
                            </w:p>
                          </w:txbxContent>
                        </wps:txbx>
                        <wps:bodyPr wrap="square" lIns="0" tIns="0" rIns="0" bIns="0" rtlCol="0">
                          <a:noAutofit/>
                        </wps:bodyPr>
                      </wps:wsp>
                    </wpg:wgp>
                  </a:graphicData>
                </a:graphic>
              </wp:inline>
            </w:drawing>
          </mc:Choice>
          <mc:Fallback>
            <w:pict>
              <v:group style="width:525.75pt;height:137.2pt;mso-position-horizontal-relative:char;mso-position-vertical-relative:line" id="docshapegroup1" coordorigin="0,0" coordsize="10515,2744">
                <v:shape style="position:absolute;left:0;top:0;width:10515;height:2744" type="#_x0000_t75" id="docshape2" stroked="false">
                  <v:imagedata r:id="rId7" o:title=""/>
                </v:shape>
                <v:shapetype id="_x0000_t202" o:spt="202" coordsize="21600,21600" path="m,l,21600r21600,l21600,xe">
                  <v:stroke joinstyle="miter"/>
                  <v:path gradientshapeok="t" o:connecttype="rect"/>
                </v:shapetype>
                <v:shape style="position:absolute;left:0;top:0;width:10515;height:2744" type="#_x0000_t202" id="docshape3" filled="false" stroked="false">
                  <v:textbox inset="0,0,0,0">
                    <w:txbxContent>
                      <w:p>
                        <w:pPr>
                          <w:spacing w:line="268" w:lineRule="auto" w:before="183"/>
                          <w:ind w:left="172" w:right="138" w:firstLine="0"/>
                          <w:jc w:val="both"/>
                          <w:rPr>
                            <w:rFonts w:ascii="Arial" w:hAnsi="Arial"/>
                            <w:b/>
                            <w:sz w:val="24"/>
                          </w:rPr>
                        </w:pPr>
                        <w:r>
                          <w:rPr>
                            <w:rFonts w:ascii="Arial" w:hAnsi="Arial"/>
                            <w:b/>
                            <w:sz w:val="24"/>
                          </w:rPr>
                          <w:t>Este Informativo contém informações de decisões proferidas pelos Colegiados do TCE, que receberam indicação de relevância sob o prisma jurisprudencial no período de novembro de 2023. As informações aqui apresentadas não constituem, todavia, o</w:t>
                        </w:r>
                        <w:r>
                          <w:rPr>
                            <w:rFonts w:ascii="Arial" w:hAnsi="Arial"/>
                            <w:b/>
                            <w:spacing w:val="40"/>
                            <w:sz w:val="24"/>
                          </w:rPr>
                          <w:t> </w:t>
                        </w:r>
                        <w:r>
                          <w:rPr>
                            <w:rFonts w:ascii="Arial" w:hAnsi="Arial"/>
                            <w:b/>
                            <w:sz w:val="24"/>
                          </w:rPr>
                          <w:t>resumo oficial da decisão proferida pelo Tribunal nem representam, necessariamente, o posicionamento prevalente do TCE. O objetivo é facilitar ao interessado o acompanhamento dos acórdãos/resoluções mais importantes do Tribunal. Para aprofundamento, o leitor pode acessar o inteiro teor das deliberações clicando em cima do número do processo.</w:t>
                        </w:r>
                      </w:p>
                    </w:txbxContent>
                  </v:textbox>
                  <w10:wrap type="none"/>
                </v:shape>
              </v:group>
            </w:pict>
          </mc:Fallback>
        </mc:AlternateContent>
      </w:r>
      <w:r>
        <w:rPr>
          <w:rFonts w:ascii="Times New Roman"/>
        </w:rPr>
      </w:r>
    </w:p>
    <w:p>
      <w:pPr>
        <w:pStyle w:val="BodyText"/>
        <w:rPr>
          <w:rFonts w:ascii="Times New Roman"/>
        </w:rPr>
      </w:pPr>
    </w:p>
    <w:p>
      <w:pPr>
        <w:pStyle w:val="BodyText"/>
        <w:spacing w:before="50"/>
        <w:rPr>
          <w:rFonts w:ascii="Times New Roman"/>
        </w:rPr>
      </w:pPr>
      <w:r>
        <w:rPr>
          <w:rFonts w:ascii="Times New Roman"/>
        </w:rPr>
        <mc:AlternateContent>
          <mc:Choice Requires="wps">
            <w:drawing>
              <wp:anchor distT="0" distB="0" distL="0" distR="0" allowOverlap="1" layoutInCell="1" locked="0" behindDoc="1" simplePos="0" relativeHeight="487588352">
                <wp:simplePos x="0" y="0"/>
                <wp:positionH relativeFrom="page">
                  <wp:posOffset>498348</wp:posOffset>
                </wp:positionH>
                <wp:positionV relativeFrom="paragraph">
                  <wp:posOffset>193052</wp:posOffset>
                </wp:positionV>
                <wp:extent cx="6560820" cy="422275"/>
                <wp:effectExtent l="0" t="0" r="0" b="0"/>
                <wp:wrapTopAndBottom/>
                <wp:docPr id="6" name="Group 6"/>
                <wp:cNvGraphicFramePr>
                  <a:graphicFrameLocks/>
                </wp:cNvGraphicFramePr>
                <a:graphic>
                  <a:graphicData uri="http://schemas.microsoft.com/office/word/2010/wordprocessingGroup">
                    <wpg:wgp>
                      <wpg:cNvPr id="6" name="Group 6"/>
                      <wpg:cNvGrpSpPr/>
                      <wpg:grpSpPr>
                        <a:xfrm>
                          <a:off x="0" y="0"/>
                          <a:ext cx="6560820" cy="422275"/>
                          <a:chExt cx="6560820" cy="422275"/>
                        </a:xfrm>
                      </wpg:grpSpPr>
                      <pic:pic>
                        <pic:nvPicPr>
                          <pic:cNvPr id="7" name="Image 7"/>
                          <pic:cNvPicPr/>
                        </pic:nvPicPr>
                        <pic:blipFill>
                          <a:blip r:embed="rId8" cstate="print"/>
                          <a:stretch>
                            <a:fillRect/>
                          </a:stretch>
                        </pic:blipFill>
                        <pic:spPr>
                          <a:xfrm>
                            <a:off x="1071372" y="0"/>
                            <a:ext cx="27431" cy="15240"/>
                          </a:xfrm>
                          <a:prstGeom prst="rect">
                            <a:avLst/>
                          </a:prstGeom>
                        </pic:spPr>
                      </pic:pic>
                      <pic:pic>
                        <pic:nvPicPr>
                          <pic:cNvPr id="8" name="Image 8"/>
                          <pic:cNvPicPr/>
                        </pic:nvPicPr>
                        <pic:blipFill>
                          <a:blip r:embed="rId9" cstate="print"/>
                          <a:stretch>
                            <a:fillRect/>
                          </a:stretch>
                        </pic:blipFill>
                        <pic:spPr>
                          <a:xfrm>
                            <a:off x="0" y="7620"/>
                            <a:ext cx="6560819" cy="414527"/>
                          </a:xfrm>
                          <a:prstGeom prst="rect">
                            <a:avLst/>
                          </a:prstGeom>
                        </pic:spPr>
                      </pic:pic>
                      <wps:wsp>
                        <wps:cNvPr id="9" name="Textbox 9"/>
                        <wps:cNvSpPr txBox="1"/>
                        <wps:spPr>
                          <a:xfrm>
                            <a:off x="0" y="0"/>
                            <a:ext cx="6560820" cy="422275"/>
                          </a:xfrm>
                          <a:prstGeom prst="rect">
                            <a:avLst/>
                          </a:prstGeom>
                        </wps:spPr>
                        <wps:txbx>
                          <w:txbxContent>
                            <w:p>
                              <w:pPr>
                                <w:spacing w:before="192"/>
                                <w:ind w:left="0" w:right="0" w:firstLine="0"/>
                                <w:jc w:val="center"/>
                                <w:rPr>
                                  <w:rFonts w:ascii="Arial" w:hAnsi="Arial"/>
                                  <w:b/>
                                  <w:sz w:val="22"/>
                                </w:rPr>
                              </w:pPr>
                              <w:r>
                                <w:rPr>
                                  <w:rFonts w:ascii="Arial" w:hAnsi="Arial"/>
                                  <w:b/>
                                  <w:color w:val="FFFFFF"/>
                                  <w:sz w:val="22"/>
                                </w:rPr>
                                <w:t>RESOLUÇÃO</w:t>
                              </w:r>
                              <w:r>
                                <w:rPr>
                                  <w:rFonts w:ascii="Arial" w:hAnsi="Arial"/>
                                  <w:b/>
                                  <w:color w:val="FFFFFF"/>
                                  <w:spacing w:val="-5"/>
                                  <w:sz w:val="22"/>
                                </w:rPr>
                                <w:t> </w:t>
                              </w:r>
                              <w:r>
                                <w:rPr>
                                  <w:rFonts w:ascii="Arial" w:hAnsi="Arial"/>
                                  <w:b/>
                                  <w:color w:val="FFFFFF"/>
                                  <w:sz w:val="22"/>
                                </w:rPr>
                                <w:t>Nº</w:t>
                              </w:r>
                              <w:r>
                                <w:rPr>
                                  <w:rFonts w:ascii="Arial" w:hAnsi="Arial"/>
                                  <w:b/>
                                  <w:color w:val="FFFFFF"/>
                                  <w:spacing w:val="-4"/>
                                  <w:sz w:val="22"/>
                                </w:rPr>
                                <w:t> </w:t>
                              </w:r>
                              <w:r>
                                <w:rPr>
                                  <w:rFonts w:ascii="Arial" w:hAnsi="Arial"/>
                                  <w:b/>
                                  <w:color w:val="FFFFFF"/>
                                  <w:spacing w:val="-2"/>
                                  <w:sz w:val="22"/>
                                </w:rPr>
                                <w:t>7881/2023</w:t>
                              </w:r>
                            </w:p>
                          </w:txbxContent>
                        </wps:txbx>
                        <wps:bodyPr wrap="square" lIns="0" tIns="0" rIns="0" bIns="0" rtlCol="0">
                          <a:noAutofit/>
                        </wps:bodyPr>
                      </wps:wsp>
                    </wpg:wgp>
                  </a:graphicData>
                </a:graphic>
              </wp:anchor>
            </w:drawing>
          </mc:Choice>
          <mc:Fallback>
            <w:pict>
              <v:group style="position:absolute;margin-left:39.240002pt;margin-top:15.200967pt;width:516.6pt;height:33.25pt;mso-position-horizontal-relative:page;mso-position-vertical-relative:paragraph;z-index:-15728128;mso-wrap-distance-left:0;mso-wrap-distance-right:0" id="docshapegroup4" coordorigin="785,304" coordsize="10332,665">
                <v:shape style="position:absolute;left:2472;top:304;width:44;height:24" type="#_x0000_t75" id="docshape5" stroked="false">
                  <v:imagedata r:id="rId8" o:title=""/>
                </v:shape>
                <v:shape style="position:absolute;left:784;top:316;width:10332;height:653" type="#_x0000_t75" id="docshape6" stroked="false">
                  <v:imagedata r:id="rId9" o:title=""/>
                </v:shape>
                <v:shape style="position:absolute;left:784;top:304;width:10332;height:665" type="#_x0000_t202" id="docshape7" filled="false" stroked="false">
                  <v:textbox inset="0,0,0,0">
                    <w:txbxContent>
                      <w:p>
                        <w:pPr>
                          <w:spacing w:before="192"/>
                          <w:ind w:left="0" w:right="0" w:firstLine="0"/>
                          <w:jc w:val="center"/>
                          <w:rPr>
                            <w:rFonts w:ascii="Arial" w:hAnsi="Arial"/>
                            <w:b/>
                            <w:sz w:val="22"/>
                          </w:rPr>
                        </w:pPr>
                        <w:r>
                          <w:rPr>
                            <w:rFonts w:ascii="Arial" w:hAnsi="Arial"/>
                            <w:b/>
                            <w:color w:val="FFFFFF"/>
                            <w:sz w:val="22"/>
                          </w:rPr>
                          <w:t>RESOLUÇÃO</w:t>
                        </w:r>
                        <w:r>
                          <w:rPr>
                            <w:rFonts w:ascii="Arial" w:hAnsi="Arial"/>
                            <w:b/>
                            <w:color w:val="FFFFFF"/>
                            <w:spacing w:val="-5"/>
                            <w:sz w:val="22"/>
                          </w:rPr>
                          <w:t> </w:t>
                        </w:r>
                        <w:r>
                          <w:rPr>
                            <w:rFonts w:ascii="Arial" w:hAnsi="Arial"/>
                            <w:b/>
                            <w:color w:val="FFFFFF"/>
                            <w:sz w:val="22"/>
                          </w:rPr>
                          <w:t>Nº</w:t>
                        </w:r>
                        <w:r>
                          <w:rPr>
                            <w:rFonts w:ascii="Arial" w:hAnsi="Arial"/>
                            <w:b/>
                            <w:color w:val="FFFFFF"/>
                            <w:spacing w:val="-4"/>
                            <w:sz w:val="22"/>
                          </w:rPr>
                          <w:t> </w:t>
                        </w:r>
                        <w:r>
                          <w:rPr>
                            <w:rFonts w:ascii="Arial" w:hAnsi="Arial"/>
                            <w:b/>
                            <w:color w:val="FFFFFF"/>
                            <w:spacing w:val="-2"/>
                            <w:sz w:val="22"/>
                          </w:rPr>
                          <w:t>7881/2023</w:t>
                        </w:r>
                      </w:p>
                    </w:txbxContent>
                  </v:textbox>
                  <w10:wrap type="none"/>
                </v:shape>
                <w10:wrap type="topAndBottom"/>
              </v:group>
            </w:pict>
          </mc:Fallback>
        </mc:AlternateContent>
      </w:r>
    </w:p>
    <w:p>
      <w:pPr>
        <w:pStyle w:val="BodyText"/>
        <w:spacing w:before="163"/>
        <w:rPr>
          <w:rFonts w:ascii="Times New Roman"/>
          <w:sz w:val="24"/>
        </w:rPr>
      </w:pPr>
    </w:p>
    <w:p>
      <w:pPr>
        <w:pStyle w:val="Heading1"/>
      </w:pPr>
      <w:r>
        <w:rPr/>
        <w:t>CONSULTA. EDUCAÇÃO. FUNDEB. PROFISSIONAIS DE EDUCAÇÃO. FOLHA </w:t>
      </w:r>
      <w:r>
        <w:rPr/>
        <w:t>DE PAGAMENTO. LIMITE DE GASTO.</w:t>
      </w:r>
    </w:p>
    <w:p>
      <w:pPr>
        <w:pStyle w:val="BodyText"/>
        <w:spacing w:before="254"/>
        <w:ind w:left="14" w:right="298"/>
        <w:jc w:val="both"/>
      </w:pPr>
      <w:r>
        <w:rPr/>
        <w:t>Consulta acerca de indagações relacionadas à aplicação de recursos do Fundo de Manutenção e Desenvolvimento da Educação Básica e de Valorização dos Profissionais da Educação (Fundeb), em especial quanto ao limite mínimo de gastos</w:t>
      </w:r>
      <w:r>
        <w:rPr>
          <w:spacing w:val="-3"/>
        </w:rPr>
        <w:t> </w:t>
      </w:r>
      <w:r>
        <w:rPr/>
        <w:t>com</w:t>
      </w:r>
      <w:r>
        <w:rPr>
          <w:spacing w:val="-2"/>
        </w:rPr>
        <w:t> </w:t>
      </w:r>
      <w:r>
        <w:rPr/>
        <w:t>remuneração</w:t>
      </w:r>
      <w:r>
        <w:rPr>
          <w:spacing w:val="-4"/>
        </w:rPr>
        <w:t> </w:t>
      </w:r>
      <w:r>
        <w:rPr/>
        <w:t>dos</w:t>
      </w:r>
      <w:r>
        <w:rPr>
          <w:spacing w:val="-3"/>
        </w:rPr>
        <w:t> </w:t>
      </w:r>
      <w:r>
        <w:rPr/>
        <w:t>profissionais</w:t>
      </w:r>
      <w:r>
        <w:rPr>
          <w:spacing w:val="-4"/>
        </w:rPr>
        <w:t> </w:t>
      </w:r>
      <w:r>
        <w:rPr/>
        <w:t>da</w:t>
      </w:r>
      <w:r>
        <w:rPr>
          <w:spacing w:val="-1"/>
        </w:rPr>
        <w:t> </w:t>
      </w:r>
      <w:r>
        <w:rPr/>
        <w:t>Educação.</w:t>
      </w:r>
      <w:r>
        <w:rPr>
          <w:spacing w:val="-1"/>
        </w:rPr>
        <w:t> </w:t>
      </w:r>
      <w:r>
        <w:rPr/>
        <w:t>O</w:t>
      </w:r>
      <w:r>
        <w:rPr>
          <w:spacing w:val="-3"/>
        </w:rPr>
        <w:t> </w:t>
      </w:r>
      <w:r>
        <w:rPr/>
        <w:t>Pleno</w:t>
      </w:r>
      <w:r>
        <w:rPr>
          <w:spacing w:val="-1"/>
        </w:rPr>
        <w:t> </w:t>
      </w:r>
      <w:r>
        <w:rPr/>
        <w:t>Virtual</w:t>
      </w:r>
      <w:r>
        <w:rPr>
          <w:spacing w:val="-2"/>
        </w:rPr>
        <w:t> </w:t>
      </w:r>
      <w:r>
        <w:rPr/>
        <w:t>do</w:t>
      </w:r>
      <w:r>
        <w:rPr>
          <w:spacing w:val="-1"/>
        </w:rPr>
        <w:t> </w:t>
      </w:r>
      <w:r>
        <w:rPr/>
        <w:t>Tribunal de</w:t>
      </w:r>
      <w:r>
        <w:rPr>
          <w:spacing w:val="-3"/>
        </w:rPr>
        <w:t> </w:t>
      </w:r>
      <w:r>
        <w:rPr/>
        <w:t>Contas</w:t>
      </w:r>
      <w:r>
        <w:rPr>
          <w:spacing w:val="-3"/>
        </w:rPr>
        <w:t> </w:t>
      </w:r>
      <w:r>
        <w:rPr/>
        <w:t>do</w:t>
      </w:r>
      <w:r>
        <w:rPr>
          <w:spacing w:val="-4"/>
        </w:rPr>
        <w:t> </w:t>
      </w:r>
      <w:r>
        <w:rPr/>
        <w:t>Estado</w:t>
      </w:r>
      <w:r>
        <w:rPr>
          <w:spacing w:val="-1"/>
        </w:rPr>
        <w:t> </w:t>
      </w:r>
      <w:r>
        <w:rPr/>
        <w:t>do</w:t>
      </w:r>
      <w:r>
        <w:rPr>
          <w:spacing w:val="-1"/>
        </w:rPr>
        <w:t> </w:t>
      </w:r>
      <w:r>
        <w:rPr/>
        <w:t>Ceará,</w:t>
      </w:r>
      <w:r>
        <w:rPr>
          <w:spacing w:val="-5"/>
        </w:rPr>
        <w:t> </w:t>
      </w:r>
      <w:r>
        <w:rPr/>
        <w:t>por unanimidade dos votos, respondeu que: 1) em observância ao art. 25, §3°, da Lei nº 14.113/2020, até 10% (dez por cento) dos recursos recebidos à conta dos fundos poderão ser utilizados no primeiro quadrimestre do exercício subsequente, por meio da abertura de crédito adicional, vedada a exclusão dos valores da base de cálculo do exercício em que os valores foram apurados, não podendo ser incorporados no exercício seguinte, nos termos do art. 26, caput e</w:t>
      </w:r>
    </w:p>
    <w:p>
      <w:pPr>
        <w:pStyle w:val="BodyText"/>
        <w:spacing w:before="1"/>
        <w:ind w:left="14" w:right="298"/>
        <w:jc w:val="both"/>
      </w:pPr>
      <w:r>
        <w:rPr/>
        <w:t>§ 2º, da Lei nº 14.113/2020 c/c art. 35 e art. 37 da Lei nº 4.320/1964; 2) é proibida a criação ou majoração de reajustes salariais, entre outras ações, até 31 de dezembro de 2021, ressalvadas as hipóteses de determinação legal anterior à calamidade da Covid-19, nos termos da Lei Complementar nº 173/2020, sendo a Lei nº 14.113/2020 posterior ao</w:t>
      </w:r>
      <w:r>
        <w:rPr>
          <w:spacing w:val="40"/>
        </w:rPr>
        <w:t> </w:t>
      </w:r>
      <w:r>
        <w:rPr/>
        <w:t>período</w:t>
      </w:r>
      <w:r>
        <w:rPr>
          <w:spacing w:val="-3"/>
        </w:rPr>
        <w:t> </w:t>
      </w:r>
      <w:r>
        <w:rPr/>
        <w:t>de</w:t>
      </w:r>
      <w:r>
        <w:rPr>
          <w:spacing w:val="-3"/>
        </w:rPr>
        <w:t> </w:t>
      </w:r>
      <w:r>
        <w:rPr/>
        <w:t>referência,</w:t>
      </w:r>
      <w:r>
        <w:rPr>
          <w:spacing w:val="-4"/>
        </w:rPr>
        <w:t> </w:t>
      </w:r>
      <w:r>
        <w:rPr/>
        <w:t>conforme</w:t>
      </w:r>
      <w:r>
        <w:rPr>
          <w:spacing w:val="-4"/>
        </w:rPr>
        <w:t> </w:t>
      </w:r>
      <w:r>
        <w:rPr/>
        <w:t>vigência</w:t>
      </w:r>
      <w:r>
        <w:rPr>
          <w:spacing w:val="-4"/>
        </w:rPr>
        <w:t> </w:t>
      </w:r>
      <w:r>
        <w:rPr/>
        <w:t>estabelecida</w:t>
      </w:r>
      <w:r>
        <w:rPr>
          <w:spacing w:val="-1"/>
        </w:rPr>
        <w:t> </w:t>
      </w:r>
      <w:r>
        <w:rPr/>
        <w:t>no</w:t>
      </w:r>
      <w:r>
        <w:rPr>
          <w:spacing w:val="-1"/>
        </w:rPr>
        <w:t> </w:t>
      </w:r>
      <w:r>
        <w:rPr/>
        <w:t>seu</w:t>
      </w:r>
      <w:r>
        <w:rPr>
          <w:spacing w:val="-3"/>
        </w:rPr>
        <w:t> </w:t>
      </w:r>
      <w:r>
        <w:rPr/>
        <w:t>art.</w:t>
      </w:r>
      <w:r>
        <w:rPr>
          <w:spacing w:val="-1"/>
        </w:rPr>
        <w:t> </w:t>
      </w:r>
      <w:r>
        <w:rPr/>
        <w:t>54,</w:t>
      </w:r>
      <w:r>
        <w:rPr>
          <w:spacing w:val="-1"/>
        </w:rPr>
        <w:t> </w:t>
      </w:r>
      <w:r>
        <w:rPr/>
        <w:t>estando</w:t>
      </w:r>
      <w:r>
        <w:rPr>
          <w:spacing w:val="-1"/>
        </w:rPr>
        <w:t> </w:t>
      </w:r>
      <w:r>
        <w:rPr/>
        <w:t>as</w:t>
      </w:r>
      <w:r>
        <w:rPr>
          <w:spacing w:val="-2"/>
        </w:rPr>
        <w:t> </w:t>
      </w:r>
      <w:r>
        <w:rPr/>
        <w:t>despesas do</w:t>
      </w:r>
      <w:r>
        <w:rPr>
          <w:spacing w:val="-1"/>
        </w:rPr>
        <w:t> </w:t>
      </w:r>
      <w:r>
        <w:rPr/>
        <w:t>FUNDEB</w:t>
      </w:r>
      <w:r>
        <w:rPr>
          <w:spacing w:val="-1"/>
        </w:rPr>
        <w:t> </w:t>
      </w:r>
      <w:r>
        <w:rPr/>
        <w:t>para</w:t>
      </w:r>
      <w:r>
        <w:rPr>
          <w:spacing w:val="-4"/>
        </w:rPr>
        <w:t> </w:t>
      </w:r>
      <w:r>
        <w:rPr/>
        <w:t>o</w:t>
      </w:r>
      <w:r>
        <w:rPr>
          <w:spacing w:val="-1"/>
        </w:rPr>
        <w:t> </w:t>
      </w:r>
      <w:r>
        <w:rPr/>
        <w:t>exercício de 2021, sob a contingência orçamentária do programa federativo de enfrentamento à pandemia do coronavírus; e 3) a transferência de valores da conta única e específica do FUNDEB, com a finalidade de realizar o pagamento dos servidores da educação</w:t>
      </w:r>
      <w:r>
        <w:rPr>
          <w:spacing w:val="-1"/>
        </w:rPr>
        <w:t> </w:t>
      </w:r>
      <w:r>
        <w:rPr/>
        <w:t>é permitida nos</w:t>
      </w:r>
      <w:r>
        <w:rPr>
          <w:spacing w:val="-2"/>
        </w:rPr>
        <w:t> </w:t>
      </w:r>
      <w:r>
        <w:rPr/>
        <w:t>termos do art. 21, §§</w:t>
      </w:r>
      <w:r>
        <w:rPr>
          <w:spacing w:val="-1"/>
        </w:rPr>
        <w:t> </w:t>
      </w:r>
      <w:r>
        <w:rPr/>
        <w:t>6º e</w:t>
      </w:r>
      <w:r>
        <w:rPr>
          <w:spacing w:val="-1"/>
        </w:rPr>
        <w:t> </w:t>
      </w:r>
      <w:r>
        <w:rPr/>
        <w:t>9º,</w:t>
      </w:r>
      <w:r>
        <w:rPr>
          <w:spacing w:val="-1"/>
        </w:rPr>
        <w:t> </w:t>
      </w:r>
      <w:r>
        <w:rPr/>
        <w:t>da Lei nº 14.113/2020,</w:t>
      </w:r>
      <w:r>
        <w:rPr>
          <w:spacing w:val="-1"/>
        </w:rPr>
        <w:t> </w:t>
      </w:r>
      <w:r>
        <w:rPr/>
        <w:t>com redação</w:t>
      </w:r>
      <w:r>
        <w:rPr>
          <w:spacing w:val="-1"/>
        </w:rPr>
        <w:t> </w:t>
      </w:r>
      <w:r>
        <w:rPr/>
        <w:t>dada</w:t>
      </w:r>
      <w:r>
        <w:rPr>
          <w:spacing w:val="-1"/>
        </w:rPr>
        <w:t> </w:t>
      </w:r>
      <w:r>
        <w:rPr/>
        <w:t>pela Lei nº 14.276/2021.</w:t>
      </w:r>
    </w:p>
    <w:p>
      <w:pPr>
        <w:tabs>
          <w:tab w:pos="5613" w:val="left" w:leader="none"/>
          <w:tab w:pos="9458" w:val="left" w:leader="none"/>
        </w:tabs>
        <w:spacing w:before="228"/>
        <w:ind w:left="14" w:right="0" w:firstLine="0"/>
        <w:jc w:val="both"/>
        <w:rPr>
          <w:sz w:val="18"/>
        </w:rPr>
      </w:pPr>
      <w:r>
        <w:rPr>
          <w:sz w:val="18"/>
        </w:rPr>
        <w:t>Processo</w:t>
      </w:r>
      <w:r>
        <w:rPr>
          <w:spacing w:val="-3"/>
          <w:sz w:val="18"/>
        </w:rPr>
        <w:t> </w:t>
      </w:r>
      <w:r>
        <w:rPr>
          <w:sz w:val="18"/>
        </w:rPr>
        <w:t>n.º 27062/2021-2.</w:t>
      </w:r>
      <w:r>
        <w:rPr>
          <w:spacing w:val="72"/>
          <w:w w:val="150"/>
          <w:sz w:val="18"/>
        </w:rPr>
        <w:t> </w:t>
      </w:r>
      <w:r>
        <w:rPr>
          <w:sz w:val="18"/>
        </w:rPr>
        <w:t>Relator:</w:t>
      </w:r>
      <w:r>
        <w:rPr>
          <w:spacing w:val="-2"/>
          <w:sz w:val="18"/>
        </w:rPr>
        <w:t> </w:t>
      </w:r>
      <w:r>
        <w:rPr>
          <w:sz w:val="18"/>
        </w:rPr>
        <w:t>Cons.</w:t>
      </w:r>
      <w:r>
        <w:rPr>
          <w:spacing w:val="-2"/>
          <w:sz w:val="18"/>
        </w:rPr>
        <w:t> </w:t>
      </w:r>
      <w:r>
        <w:rPr>
          <w:sz w:val="18"/>
        </w:rPr>
        <w:t>Edilberto</w:t>
      </w:r>
      <w:r>
        <w:rPr>
          <w:spacing w:val="-2"/>
          <w:sz w:val="18"/>
        </w:rPr>
        <w:t> Pontes.</w:t>
      </w:r>
      <w:r>
        <w:rPr>
          <w:sz w:val="18"/>
        </w:rPr>
        <w:tab/>
        <w:t>Sessão</w:t>
      </w:r>
      <w:r>
        <w:rPr>
          <w:spacing w:val="-2"/>
          <w:sz w:val="18"/>
        </w:rPr>
        <w:t> </w:t>
      </w:r>
      <w:r>
        <w:rPr>
          <w:sz w:val="18"/>
        </w:rPr>
        <w:t>de</w:t>
      </w:r>
      <w:r>
        <w:rPr>
          <w:spacing w:val="2"/>
          <w:sz w:val="18"/>
        </w:rPr>
        <w:t> </w:t>
      </w:r>
      <w:r>
        <w:rPr>
          <w:sz w:val="18"/>
        </w:rPr>
        <w:t>07/11/2023.</w:t>
      </w:r>
      <w:r>
        <w:rPr>
          <w:spacing w:val="66"/>
          <w:sz w:val="18"/>
        </w:rPr>
        <w:t>   </w:t>
      </w:r>
      <w:r>
        <w:rPr>
          <w:sz w:val="18"/>
        </w:rPr>
        <w:t>Ata n.° </w:t>
      </w:r>
      <w:r>
        <w:rPr>
          <w:spacing w:val="-4"/>
          <w:sz w:val="18"/>
        </w:rPr>
        <w:t>181.</w:t>
      </w:r>
      <w:r>
        <w:rPr>
          <w:sz w:val="18"/>
        </w:rPr>
        <w:tab/>
        <w:t>DO:</w:t>
      </w:r>
      <w:r>
        <w:rPr>
          <w:spacing w:val="-1"/>
          <w:sz w:val="18"/>
        </w:rPr>
        <w:t> </w:t>
      </w:r>
      <w:r>
        <w:rPr>
          <w:spacing w:val="-2"/>
          <w:sz w:val="18"/>
        </w:rPr>
        <w:t>19/12/2023</w:t>
      </w:r>
    </w:p>
    <w:p>
      <w:pPr>
        <w:pStyle w:val="BodyText"/>
        <w:spacing w:before="111"/>
      </w:pPr>
      <w:r>
        <w:rPr/>
        <mc:AlternateContent>
          <mc:Choice Requires="wps">
            <w:drawing>
              <wp:anchor distT="0" distB="0" distL="0" distR="0" allowOverlap="1" layoutInCell="1" locked="0" behindDoc="1" simplePos="0" relativeHeight="487588864">
                <wp:simplePos x="0" y="0"/>
                <wp:positionH relativeFrom="page">
                  <wp:posOffset>423672</wp:posOffset>
                </wp:positionH>
                <wp:positionV relativeFrom="paragraph">
                  <wp:posOffset>232017</wp:posOffset>
                </wp:positionV>
                <wp:extent cx="6939280" cy="396240"/>
                <wp:effectExtent l="0" t="0" r="0" b="0"/>
                <wp:wrapTopAndBottom/>
                <wp:docPr id="10" name="Group 10"/>
                <wp:cNvGraphicFramePr>
                  <a:graphicFrameLocks/>
                </wp:cNvGraphicFramePr>
                <a:graphic>
                  <a:graphicData uri="http://schemas.microsoft.com/office/word/2010/wordprocessingGroup">
                    <wpg:wgp>
                      <wpg:cNvPr id="10" name="Group 10"/>
                      <wpg:cNvGrpSpPr/>
                      <wpg:grpSpPr>
                        <a:xfrm>
                          <a:off x="0" y="0"/>
                          <a:ext cx="6939280" cy="396240"/>
                          <a:chExt cx="6939280" cy="396240"/>
                        </a:xfrm>
                      </wpg:grpSpPr>
                      <pic:pic>
                        <pic:nvPicPr>
                          <pic:cNvPr id="11" name="Image 11"/>
                          <pic:cNvPicPr/>
                        </pic:nvPicPr>
                        <pic:blipFill>
                          <a:blip r:embed="rId10" cstate="print"/>
                          <a:stretch>
                            <a:fillRect/>
                          </a:stretch>
                        </pic:blipFill>
                        <pic:spPr>
                          <a:xfrm>
                            <a:off x="0" y="0"/>
                            <a:ext cx="6938771" cy="396239"/>
                          </a:xfrm>
                          <a:prstGeom prst="rect">
                            <a:avLst/>
                          </a:prstGeom>
                        </pic:spPr>
                      </pic:pic>
                      <wps:wsp>
                        <wps:cNvPr id="12" name="Textbox 12"/>
                        <wps:cNvSpPr txBox="1"/>
                        <wps:spPr>
                          <a:xfrm>
                            <a:off x="0" y="0"/>
                            <a:ext cx="6939280" cy="396240"/>
                          </a:xfrm>
                          <a:prstGeom prst="rect">
                            <a:avLst/>
                          </a:prstGeom>
                        </wps:spPr>
                        <wps:txbx>
                          <w:txbxContent>
                            <w:p>
                              <w:pPr>
                                <w:spacing w:line="240" w:lineRule="auto" w:before="3"/>
                                <w:rPr>
                                  <w:sz w:val="22"/>
                                </w:rPr>
                              </w:pPr>
                            </w:p>
                            <w:p>
                              <w:pPr>
                                <w:spacing w:before="1"/>
                                <w:ind w:left="0" w:right="358" w:firstLine="0"/>
                                <w:jc w:val="center"/>
                                <w:rPr>
                                  <w:rFonts w:ascii="Arial" w:hAnsi="Arial"/>
                                  <w:b/>
                                  <w:sz w:val="22"/>
                                </w:rPr>
                              </w:pPr>
                              <w:r>
                                <w:rPr>
                                  <w:rFonts w:ascii="Arial" w:hAnsi="Arial"/>
                                  <w:b/>
                                  <w:color w:val="FFFFFF"/>
                                  <w:sz w:val="22"/>
                                </w:rPr>
                                <w:t>RESOLUÇÃO</w:t>
                              </w:r>
                              <w:r>
                                <w:rPr>
                                  <w:rFonts w:ascii="Arial" w:hAnsi="Arial"/>
                                  <w:b/>
                                  <w:color w:val="FFFFFF"/>
                                  <w:spacing w:val="-5"/>
                                  <w:sz w:val="22"/>
                                </w:rPr>
                                <w:t> </w:t>
                              </w:r>
                              <w:r>
                                <w:rPr>
                                  <w:rFonts w:ascii="Arial" w:hAnsi="Arial"/>
                                  <w:b/>
                                  <w:color w:val="FFFFFF"/>
                                  <w:sz w:val="22"/>
                                </w:rPr>
                                <w:t>Nº</w:t>
                              </w:r>
                              <w:r>
                                <w:rPr>
                                  <w:rFonts w:ascii="Arial" w:hAnsi="Arial"/>
                                  <w:b/>
                                  <w:color w:val="FFFFFF"/>
                                  <w:spacing w:val="-4"/>
                                  <w:sz w:val="22"/>
                                </w:rPr>
                                <w:t> </w:t>
                              </w:r>
                              <w:r>
                                <w:rPr>
                                  <w:rFonts w:ascii="Arial" w:hAnsi="Arial"/>
                                  <w:b/>
                                  <w:color w:val="FFFFFF"/>
                                  <w:spacing w:val="-2"/>
                                  <w:sz w:val="22"/>
                                </w:rPr>
                                <w:t>7854/2023</w:t>
                              </w:r>
                            </w:p>
                          </w:txbxContent>
                        </wps:txbx>
                        <wps:bodyPr wrap="square" lIns="0" tIns="0" rIns="0" bIns="0" rtlCol="0">
                          <a:noAutofit/>
                        </wps:bodyPr>
                      </wps:wsp>
                    </wpg:wgp>
                  </a:graphicData>
                </a:graphic>
              </wp:anchor>
            </w:drawing>
          </mc:Choice>
          <mc:Fallback>
            <w:pict>
              <v:group style="position:absolute;margin-left:33.360001pt;margin-top:18.26906pt;width:546.4pt;height:31.2pt;mso-position-horizontal-relative:page;mso-position-vertical-relative:paragraph;z-index:-15727616;mso-wrap-distance-left:0;mso-wrap-distance-right:0" id="docshapegroup8" coordorigin="667,365" coordsize="10928,624">
                <v:shape style="position:absolute;left:667;top:365;width:10928;height:624" type="#_x0000_t75" id="docshape9" stroked="false">
                  <v:imagedata r:id="rId10" o:title=""/>
                </v:shape>
                <v:shape style="position:absolute;left:667;top:365;width:10928;height:624" type="#_x0000_t202" id="docshape10" filled="false" stroked="false">
                  <v:textbox inset="0,0,0,0">
                    <w:txbxContent>
                      <w:p>
                        <w:pPr>
                          <w:spacing w:line="240" w:lineRule="auto" w:before="3"/>
                          <w:rPr>
                            <w:sz w:val="22"/>
                          </w:rPr>
                        </w:pPr>
                      </w:p>
                      <w:p>
                        <w:pPr>
                          <w:spacing w:before="1"/>
                          <w:ind w:left="0" w:right="358" w:firstLine="0"/>
                          <w:jc w:val="center"/>
                          <w:rPr>
                            <w:rFonts w:ascii="Arial" w:hAnsi="Arial"/>
                            <w:b/>
                            <w:sz w:val="22"/>
                          </w:rPr>
                        </w:pPr>
                        <w:r>
                          <w:rPr>
                            <w:rFonts w:ascii="Arial" w:hAnsi="Arial"/>
                            <w:b/>
                            <w:color w:val="FFFFFF"/>
                            <w:sz w:val="22"/>
                          </w:rPr>
                          <w:t>RESOLUÇÃO</w:t>
                        </w:r>
                        <w:r>
                          <w:rPr>
                            <w:rFonts w:ascii="Arial" w:hAnsi="Arial"/>
                            <w:b/>
                            <w:color w:val="FFFFFF"/>
                            <w:spacing w:val="-5"/>
                            <w:sz w:val="22"/>
                          </w:rPr>
                          <w:t> </w:t>
                        </w:r>
                        <w:r>
                          <w:rPr>
                            <w:rFonts w:ascii="Arial" w:hAnsi="Arial"/>
                            <w:b/>
                            <w:color w:val="FFFFFF"/>
                            <w:sz w:val="22"/>
                          </w:rPr>
                          <w:t>Nº</w:t>
                        </w:r>
                        <w:r>
                          <w:rPr>
                            <w:rFonts w:ascii="Arial" w:hAnsi="Arial"/>
                            <w:b/>
                            <w:color w:val="FFFFFF"/>
                            <w:spacing w:val="-4"/>
                            <w:sz w:val="22"/>
                          </w:rPr>
                          <w:t> </w:t>
                        </w:r>
                        <w:r>
                          <w:rPr>
                            <w:rFonts w:ascii="Arial" w:hAnsi="Arial"/>
                            <w:b/>
                            <w:color w:val="FFFFFF"/>
                            <w:spacing w:val="-2"/>
                            <w:sz w:val="22"/>
                          </w:rPr>
                          <w:t>7854/2023</w:t>
                        </w:r>
                      </w:p>
                    </w:txbxContent>
                  </v:textbox>
                  <w10:wrap type="none"/>
                </v:shape>
                <w10:wrap type="topAndBottom"/>
              </v:group>
            </w:pict>
          </mc:Fallback>
        </mc:AlternateContent>
      </w:r>
    </w:p>
    <w:p>
      <w:pPr>
        <w:pStyle w:val="BodyText"/>
        <w:spacing w:before="211"/>
        <w:rPr>
          <w:sz w:val="24"/>
        </w:rPr>
      </w:pPr>
    </w:p>
    <w:p>
      <w:pPr>
        <w:pStyle w:val="Heading1"/>
        <w:ind w:right="302"/>
      </w:pPr>
      <w:r>
        <w:rPr/>
        <w:t>CONSULTA. LRF. NÃO DEPENDENTES. FUNDAÇÃO PÚBLICA DE DIREITO PRIVADO. LOA. DESPESA COM O PESSOAL.</w:t>
      </w:r>
    </w:p>
    <w:p>
      <w:pPr>
        <w:pStyle w:val="BodyText"/>
        <w:spacing w:before="2"/>
        <w:rPr>
          <w:rFonts w:ascii="Arial"/>
          <w:b/>
          <w:sz w:val="24"/>
        </w:rPr>
      </w:pPr>
    </w:p>
    <w:p>
      <w:pPr>
        <w:pStyle w:val="BodyText"/>
        <w:spacing w:line="276" w:lineRule="auto"/>
        <w:ind w:left="14" w:right="300"/>
        <w:jc w:val="both"/>
      </w:pPr>
      <w:r>
        <w:rPr/>
        <w:t>Consulta acerca da interpretação da Lei de Responsabilidade Fiscal — LRF, a qual questiona se a qualificação de não dependente pode ser aplicada as fundações públicas de direito privado que não recebem receitas constituídas por dotações consignadas na Lei</w:t>
      </w:r>
      <w:r>
        <w:rPr>
          <w:spacing w:val="-1"/>
        </w:rPr>
        <w:t> </w:t>
      </w:r>
      <w:r>
        <w:rPr/>
        <w:t>Orçamentária</w:t>
      </w:r>
      <w:r>
        <w:rPr>
          <w:spacing w:val="-2"/>
        </w:rPr>
        <w:t> </w:t>
      </w:r>
      <w:r>
        <w:rPr/>
        <w:t>Anual</w:t>
      </w:r>
      <w:r>
        <w:rPr>
          <w:spacing w:val="-3"/>
        </w:rPr>
        <w:t> </w:t>
      </w:r>
      <w:r>
        <w:rPr/>
        <w:t>– LOA</w:t>
      </w:r>
      <w:r>
        <w:rPr>
          <w:spacing w:val="-2"/>
        </w:rPr>
        <w:t> </w:t>
      </w:r>
      <w:r>
        <w:rPr/>
        <w:t>para</w:t>
      </w:r>
      <w:r>
        <w:rPr>
          <w:spacing w:val="-2"/>
        </w:rPr>
        <w:t> </w:t>
      </w:r>
      <w:r>
        <w:rPr/>
        <w:t>o custeio</w:t>
      </w:r>
      <w:r>
        <w:rPr>
          <w:spacing w:val="-2"/>
        </w:rPr>
        <w:t> </w:t>
      </w:r>
      <w:r>
        <w:rPr/>
        <w:t>de suas atividades e</w:t>
      </w:r>
      <w:r>
        <w:rPr>
          <w:spacing w:val="-2"/>
        </w:rPr>
        <w:t> </w:t>
      </w:r>
      <w:r>
        <w:rPr/>
        <w:t>de seu pessoal, podendo a receita ser decorrente de contraprestação com a Administração Pública.</w:t>
      </w:r>
    </w:p>
    <w:p>
      <w:pPr>
        <w:pStyle w:val="BodyText"/>
        <w:spacing w:after="0" w:line="276" w:lineRule="auto"/>
        <w:jc w:val="both"/>
        <w:sectPr>
          <w:footerReference w:type="default" r:id="rId5"/>
          <w:type w:val="continuous"/>
          <w:pgSz w:w="11910" w:h="16840"/>
          <w:pgMar w:header="0" w:footer="921" w:top="0" w:bottom="1120" w:left="566" w:right="283"/>
          <w:pgNumType w:start="1"/>
        </w:sectPr>
      </w:pPr>
    </w:p>
    <w:p>
      <w:pPr>
        <w:pStyle w:val="BodyText"/>
        <w:spacing w:before="81"/>
        <w:ind w:left="14" w:right="300"/>
        <w:jc w:val="both"/>
      </w:pPr>
      <w:r>
        <w:rPr/>
        <w:t>O Pleno Virtual do Tribunal de Contas do Estado do Ceará, por unanimidade de votos, respondeu que: não se pode aplicar, para fins de interpretação da LRF, a qualificação de não dependente, nos moldes das empresas estatais previstos no art. 1º, §3º, inciso I, “b”, e art. 2º, incisos II e III, do referido diploma, às fundações públicas de direito</w:t>
      </w:r>
      <w:r>
        <w:rPr>
          <w:spacing w:val="80"/>
        </w:rPr>
        <w:t> </w:t>
      </w:r>
      <w:r>
        <w:rPr/>
        <w:t>privado que não recebem receitas constituídas por dotações consignadas na LOA para sua manutenção, sendo vedada a retirada dos gastos de pessoal das fundações públicas, ainda que não dependentes de financiamento do ente vinculado, do cômputo do limite do art. 19 da LRF.</w:t>
      </w:r>
    </w:p>
    <w:p>
      <w:pPr>
        <w:pStyle w:val="BodyText"/>
        <w:spacing w:before="21"/>
      </w:pPr>
    </w:p>
    <w:p>
      <w:pPr>
        <w:tabs>
          <w:tab w:pos="9309" w:val="left" w:leader="none"/>
        </w:tabs>
        <w:spacing w:before="1"/>
        <w:ind w:left="14" w:right="0" w:firstLine="0"/>
        <w:jc w:val="both"/>
        <w:rPr>
          <w:sz w:val="18"/>
        </w:rPr>
      </w:pPr>
      <w:r>
        <w:rPr>
          <w:sz w:val="18"/>
        </w:rPr>
        <w:t>Processo</w:t>
      </w:r>
      <w:r>
        <w:rPr>
          <w:spacing w:val="-1"/>
          <w:sz w:val="18"/>
        </w:rPr>
        <w:t> </w:t>
      </w:r>
      <w:r>
        <w:rPr>
          <w:sz w:val="18"/>
        </w:rPr>
        <w:t>n.º 24453/2022-9.</w:t>
      </w:r>
      <w:r>
        <w:rPr>
          <w:spacing w:val="74"/>
          <w:w w:val="150"/>
          <w:sz w:val="18"/>
        </w:rPr>
        <w:t>   </w:t>
      </w:r>
      <w:r>
        <w:rPr>
          <w:sz w:val="18"/>
        </w:rPr>
        <w:t>Relator:</w:t>
      </w:r>
      <w:r>
        <w:rPr>
          <w:spacing w:val="-2"/>
          <w:sz w:val="18"/>
        </w:rPr>
        <w:t> </w:t>
      </w:r>
      <w:r>
        <w:rPr>
          <w:sz w:val="18"/>
        </w:rPr>
        <w:t>Cons.</w:t>
      </w:r>
      <w:r>
        <w:rPr>
          <w:spacing w:val="-2"/>
          <w:sz w:val="18"/>
        </w:rPr>
        <w:t> </w:t>
      </w:r>
      <w:r>
        <w:rPr>
          <w:sz w:val="18"/>
        </w:rPr>
        <w:t>Edilberto</w:t>
      </w:r>
      <w:r>
        <w:rPr>
          <w:spacing w:val="-3"/>
          <w:sz w:val="18"/>
        </w:rPr>
        <w:t> </w:t>
      </w:r>
      <w:r>
        <w:rPr>
          <w:sz w:val="18"/>
        </w:rPr>
        <w:t>Pontes.</w:t>
      </w:r>
      <w:r>
        <w:rPr>
          <w:spacing w:val="57"/>
          <w:w w:val="150"/>
          <w:sz w:val="18"/>
        </w:rPr>
        <w:t>   </w:t>
      </w:r>
      <w:r>
        <w:rPr>
          <w:sz w:val="18"/>
        </w:rPr>
        <w:t>Sessão</w:t>
      </w:r>
      <w:r>
        <w:rPr>
          <w:spacing w:val="-3"/>
          <w:sz w:val="18"/>
        </w:rPr>
        <w:t> </w:t>
      </w:r>
      <w:r>
        <w:rPr>
          <w:sz w:val="18"/>
        </w:rPr>
        <w:t>de</w:t>
      </w:r>
      <w:r>
        <w:rPr>
          <w:spacing w:val="2"/>
          <w:sz w:val="18"/>
        </w:rPr>
        <w:t> </w:t>
      </w:r>
      <w:r>
        <w:rPr>
          <w:sz w:val="18"/>
        </w:rPr>
        <w:t>13/11/2023.</w:t>
      </w:r>
      <w:r>
        <w:rPr>
          <w:spacing w:val="74"/>
          <w:w w:val="150"/>
          <w:sz w:val="18"/>
        </w:rPr>
        <w:t>  </w:t>
      </w:r>
      <w:r>
        <w:rPr>
          <w:sz w:val="18"/>
        </w:rPr>
        <w:t>Ata</w:t>
      </w:r>
      <w:r>
        <w:rPr>
          <w:spacing w:val="-1"/>
          <w:sz w:val="18"/>
        </w:rPr>
        <w:t> </w:t>
      </w:r>
      <w:r>
        <w:rPr>
          <w:sz w:val="18"/>
        </w:rPr>
        <w:t>n.°</w:t>
      </w:r>
      <w:r>
        <w:rPr>
          <w:spacing w:val="-1"/>
          <w:sz w:val="18"/>
        </w:rPr>
        <w:t> </w:t>
      </w:r>
      <w:r>
        <w:rPr>
          <w:spacing w:val="-4"/>
          <w:sz w:val="18"/>
        </w:rPr>
        <w:t>182.</w:t>
      </w:r>
      <w:r>
        <w:rPr>
          <w:sz w:val="18"/>
        </w:rPr>
        <w:tab/>
        <w:t>DO.:</w:t>
      </w:r>
      <w:r>
        <w:rPr>
          <w:spacing w:val="-1"/>
          <w:sz w:val="18"/>
        </w:rPr>
        <w:t> </w:t>
      </w:r>
      <w:r>
        <w:rPr>
          <w:spacing w:val="-2"/>
          <w:sz w:val="18"/>
        </w:rPr>
        <w:t>19/12/2023</w:t>
      </w:r>
    </w:p>
    <w:p>
      <w:pPr>
        <w:pStyle w:val="BodyText"/>
      </w:pPr>
    </w:p>
    <w:p>
      <w:pPr>
        <w:pStyle w:val="BodyText"/>
      </w:pPr>
    </w:p>
    <w:p>
      <w:pPr>
        <w:pStyle w:val="BodyText"/>
        <w:spacing w:before="6"/>
      </w:pPr>
      <w:r>
        <w:rPr/>
        <mc:AlternateContent>
          <mc:Choice Requires="wps">
            <w:drawing>
              <wp:anchor distT="0" distB="0" distL="0" distR="0" allowOverlap="1" layoutInCell="1" locked="0" behindDoc="1" simplePos="0" relativeHeight="487589888">
                <wp:simplePos x="0" y="0"/>
                <wp:positionH relativeFrom="page">
                  <wp:posOffset>365760</wp:posOffset>
                </wp:positionH>
                <wp:positionV relativeFrom="paragraph">
                  <wp:posOffset>165222</wp:posOffset>
                </wp:positionV>
                <wp:extent cx="6824980" cy="349250"/>
                <wp:effectExtent l="0" t="0" r="0" b="0"/>
                <wp:wrapTopAndBottom/>
                <wp:docPr id="13" name="Group 13"/>
                <wp:cNvGraphicFramePr>
                  <a:graphicFrameLocks/>
                </wp:cNvGraphicFramePr>
                <a:graphic>
                  <a:graphicData uri="http://schemas.microsoft.com/office/word/2010/wordprocessingGroup">
                    <wpg:wgp>
                      <wpg:cNvPr id="13" name="Group 13"/>
                      <wpg:cNvGrpSpPr/>
                      <wpg:grpSpPr>
                        <a:xfrm>
                          <a:off x="0" y="0"/>
                          <a:ext cx="6824980" cy="349250"/>
                          <a:chExt cx="6824980" cy="349250"/>
                        </a:xfrm>
                      </wpg:grpSpPr>
                      <pic:pic>
                        <pic:nvPicPr>
                          <pic:cNvPr id="14" name="Image 14"/>
                          <pic:cNvPicPr/>
                        </pic:nvPicPr>
                        <pic:blipFill>
                          <a:blip r:embed="rId10" cstate="print"/>
                          <a:stretch>
                            <a:fillRect/>
                          </a:stretch>
                        </pic:blipFill>
                        <pic:spPr>
                          <a:xfrm>
                            <a:off x="0" y="0"/>
                            <a:ext cx="6824471" cy="348995"/>
                          </a:xfrm>
                          <a:prstGeom prst="rect">
                            <a:avLst/>
                          </a:prstGeom>
                        </pic:spPr>
                      </pic:pic>
                      <wps:wsp>
                        <wps:cNvPr id="15" name="Textbox 15"/>
                        <wps:cNvSpPr txBox="1"/>
                        <wps:spPr>
                          <a:xfrm>
                            <a:off x="0" y="0"/>
                            <a:ext cx="6824980" cy="349250"/>
                          </a:xfrm>
                          <a:prstGeom prst="rect">
                            <a:avLst/>
                          </a:prstGeom>
                        </wps:spPr>
                        <wps:txbx>
                          <w:txbxContent>
                            <w:p>
                              <w:pPr>
                                <w:spacing w:before="168"/>
                                <w:ind w:left="2" w:right="0" w:firstLine="0"/>
                                <w:jc w:val="center"/>
                                <w:rPr>
                                  <w:rFonts w:ascii="Arial" w:hAnsi="Arial"/>
                                  <w:b/>
                                  <w:sz w:val="22"/>
                                </w:rPr>
                              </w:pPr>
                              <w:r>
                                <w:rPr>
                                  <w:rFonts w:ascii="Arial" w:hAnsi="Arial"/>
                                  <w:b/>
                                  <w:color w:val="FFFFFF"/>
                                  <w:sz w:val="22"/>
                                </w:rPr>
                                <w:t>ACÓRDÃO</w:t>
                              </w:r>
                              <w:r>
                                <w:rPr>
                                  <w:rFonts w:ascii="Arial" w:hAnsi="Arial"/>
                                  <w:b/>
                                  <w:color w:val="FFFFFF"/>
                                  <w:spacing w:val="-6"/>
                                  <w:sz w:val="22"/>
                                </w:rPr>
                                <w:t> </w:t>
                              </w:r>
                              <w:r>
                                <w:rPr>
                                  <w:rFonts w:ascii="Arial" w:hAnsi="Arial"/>
                                  <w:b/>
                                  <w:color w:val="FFFFFF"/>
                                  <w:sz w:val="22"/>
                                </w:rPr>
                                <w:t>Nº</w:t>
                              </w:r>
                              <w:r>
                                <w:rPr>
                                  <w:rFonts w:ascii="Arial" w:hAnsi="Arial"/>
                                  <w:b/>
                                  <w:color w:val="FFFFFF"/>
                                  <w:spacing w:val="-2"/>
                                  <w:sz w:val="22"/>
                                </w:rPr>
                                <w:t> 3298/2023</w:t>
                              </w:r>
                            </w:p>
                          </w:txbxContent>
                        </wps:txbx>
                        <wps:bodyPr wrap="square" lIns="0" tIns="0" rIns="0" bIns="0" rtlCol="0">
                          <a:noAutofit/>
                        </wps:bodyPr>
                      </wps:wsp>
                    </wpg:wgp>
                  </a:graphicData>
                </a:graphic>
              </wp:anchor>
            </w:drawing>
          </mc:Choice>
          <mc:Fallback>
            <w:pict>
              <v:group style="position:absolute;margin-left:28.800001pt;margin-top:13.009634pt;width:537.4pt;height:27.5pt;mso-position-horizontal-relative:page;mso-position-vertical-relative:paragraph;z-index:-15726592;mso-wrap-distance-left:0;mso-wrap-distance-right:0" id="docshapegroup11" coordorigin="576,260" coordsize="10748,550">
                <v:shape style="position:absolute;left:576;top:260;width:10748;height:550" type="#_x0000_t75" id="docshape12" stroked="false">
                  <v:imagedata r:id="rId10" o:title=""/>
                </v:shape>
                <v:shape style="position:absolute;left:576;top:260;width:10748;height:550" type="#_x0000_t202" id="docshape13" filled="false" stroked="false">
                  <v:textbox inset="0,0,0,0">
                    <w:txbxContent>
                      <w:p>
                        <w:pPr>
                          <w:spacing w:before="168"/>
                          <w:ind w:left="2" w:right="0" w:firstLine="0"/>
                          <w:jc w:val="center"/>
                          <w:rPr>
                            <w:rFonts w:ascii="Arial" w:hAnsi="Arial"/>
                            <w:b/>
                            <w:sz w:val="22"/>
                          </w:rPr>
                        </w:pPr>
                        <w:r>
                          <w:rPr>
                            <w:rFonts w:ascii="Arial" w:hAnsi="Arial"/>
                            <w:b/>
                            <w:color w:val="FFFFFF"/>
                            <w:sz w:val="22"/>
                          </w:rPr>
                          <w:t>ACÓRDÃO</w:t>
                        </w:r>
                        <w:r>
                          <w:rPr>
                            <w:rFonts w:ascii="Arial" w:hAnsi="Arial"/>
                            <w:b/>
                            <w:color w:val="FFFFFF"/>
                            <w:spacing w:val="-6"/>
                            <w:sz w:val="22"/>
                          </w:rPr>
                          <w:t> </w:t>
                        </w:r>
                        <w:r>
                          <w:rPr>
                            <w:rFonts w:ascii="Arial" w:hAnsi="Arial"/>
                            <w:b/>
                            <w:color w:val="FFFFFF"/>
                            <w:sz w:val="22"/>
                          </w:rPr>
                          <w:t>Nº</w:t>
                        </w:r>
                        <w:r>
                          <w:rPr>
                            <w:rFonts w:ascii="Arial" w:hAnsi="Arial"/>
                            <w:b/>
                            <w:color w:val="FFFFFF"/>
                            <w:spacing w:val="-2"/>
                            <w:sz w:val="22"/>
                          </w:rPr>
                          <w:t> 3298/2023</w:t>
                        </w:r>
                      </w:p>
                    </w:txbxContent>
                  </v:textbox>
                  <w10:wrap type="none"/>
                </v:shape>
                <w10:wrap type="topAndBottom"/>
              </v:group>
            </w:pict>
          </mc:Fallback>
        </mc:AlternateContent>
      </w:r>
    </w:p>
    <w:p>
      <w:pPr>
        <w:pStyle w:val="BodyText"/>
        <w:spacing w:before="182"/>
        <w:rPr>
          <w:sz w:val="24"/>
        </w:rPr>
      </w:pPr>
    </w:p>
    <w:p>
      <w:pPr>
        <w:pStyle w:val="Heading1"/>
        <w:spacing w:before="1"/>
      </w:pPr>
      <w:r>
        <w:rPr/>
        <w:t>TOMADA DE CONTAS ESPECIAL. LICITAÇÃO. CONTRATO. ADITIVO. TRANSPORTE ESCOLAR. PRINCÍPIOS DA EFICIÊNCIA E DA ECONOMICIDADE.</w:t>
      </w:r>
    </w:p>
    <w:p>
      <w:pPr>
        <w:pStyle w:val="BodyText"/>
        <w:spacing w:before="253"/>
        <w:ind w:left="14" w:right="299"/>
        <w:jc w:val="both"/>
      </w:pPr>
      <w:r>
        <w:rPr/>
        <w:t>Tomada de Contas Especial oriunda da Representação nº 13055/2019-5, em razão de constatação de irregularidades referentes à execução do 4º Aditivo ao Contrato nº 20170170, cujo objeto é o transporte escolar no Município de Cascavel/CE. No presente caso, restou evidenciada a intermediação dos serviços contratados, sem que houvesse razoabilidade no percentual subcontratado (99% neste caso), uma vez que a subcontratação integral é vedada em lei, situação que representa</w:t>
      </w:r>
      <w:r>
        <w:rPr>
          <w:spacing w:val="-2"/>
        </w:rPr>
        <w:t> </w:t>
      </w:r>
      <w:r>
        <w:rPr/>
        <w:t>burla ao princípio da licitação,</w:t>
      </w:r>
      <w:r>
        <w:rPr>
          <w:spacing w:val="-3"/>
        </w:rPr>
        <w:t> </w:t>
      </w:r>
      <w:r>
        <w:rPr/>
        <w:t>previsto</w:t>
      </w:r>
      <w:r>
        <w:rPr>
          <w:spacing w:val="-2"/>
        </w:rPr>
        <w:t> </w:t>
      </w:r>
      <w:r>
        <w:rPr/>
        <w:t>no</w:t>
      </w:r>
      <w:r>
        <w:rPr>
          <w:spacing w:val="-2"/>
        </w:rPr>
        <w:t> </w:t>
      </w:r>
      <w:r>
        <w:rPr/>
        <w:t>art.</w:t>
      </w:r>
      <w:r>
        <w:rPr>
          <w:spacing w:val="-2"/>
        </w:rPr>
        <w:t> </w:t>
      </w:r>
      <w:r>
        <w:rPr/>
        <w:t>37, XXI, da CF/88, bem</w:t>
      </w:r>
      <w:r>
        <w:rPr>
          <w:spacing w:val="-1"/>
        </w:rPr>
        <w:t> </w:t>
      </w:r>
      <w:r>
        <w:rPr/>
        <w:t>como</w:t>
      </w:r>
      <w:r>
        <w:rPr>
          <w:spacing w:val="-2"/>
        </w:rPr>
        <w:t> </w:t>
      </w:r>
      <w:r>
        <w:rPr/>
        <w:t>afronta aos</w:t>
      </w:r>
      <w:r>
        <w:rPr>
          <w:spacing w:val="-1"/>
        </w:rPr>
        <w:t> </w:t>
      </w:r>
      <w:r>
        <w:rPr/>
        <w:t>arts. 2º,</w:t>
      </w:r>
    </w:p>
    <w:p>
      <w:pPr>
        <w:pStyle w:val="BodyText"/>
        <w:ind w:left="14" w:right="300"/>
        <w:jc w:val="both"/>
      </w:pPr>
      <w:r>
        <w:rPr/>
        <w:t>72 e 78, VI, da Lei nº 8.666/93. Ainda que não materializado o dano ao erário, os princípios da eficiência e da economicidade nos contratos públicos, não se encontraram amplamente refletidos nesta avença pública. A Primeira Câmara Virtual do Tribunal de Contas do Estado do Ceará, por unanimidade, julgou irregular a presente Tomada de Contas Especial, que trata do Contrato nº 20170170, com fundamento nos arts. 1º, inciso I, 15, inciso III, alínea “c”, da Lei Estadual nº 12.509/95 (LOTCE/CE).</w:t>
      </w:r>
    </w:p>
    <w:p>
      <w:pPr>
        <w:pStyle w:val="BodyText"/>
      </w:pPr>
    </w:p>
    <w:p>
      <w:pPr>
        <w:pStyle w:val="BodyText"/>
        <w:spacing w:before="7"/>
      </w:pPr>
    </w:p>
    <w:p>
      <w:pPr>
        <w:spacing w:before="0"/>
        <w:ind w:left="14" w:right="0" w:firstLine="0"/>
        <w:jc w:val="both"/>
        <w:rPr>
          <w:sz w:val="18"/>
        </w:rPr>
      </w:pPr>
      <w:r>
        <w:rPr>
          <w:sz w:val="18"/>
        </w:rPr>
        <w:t>Processo</w:t>
      </w:r>
      <w:r>
        <w:rPr>
          <w:spacing w:val="-1"/>
          <w:sz w:val="18"/>
        </w:rPr>
        <w:t> </w:t>
      </w:r>
      <w:r>
        <w:rPr>
          <w:sz w:val="18"/>
        </w:rPr>
        <w:t>nº.</w:t>
      </w:r>
      <w:r>
        <w:rPr>
          <w:spacing w:val="-4"/>
          <w:sz w:val="18"/>
        </w:rPr>
        <w:t> </w:t>
      </w:r>
      <w:r>
        <w:rPr>
          <w:sz w:val="18"/>
        </w:rPr>
        <w:t>13055/2019-5.</w:t>
      </w:r>
      <w:r>
        <w:rPr>
          <w:spacing w:val="74"/>
          <w:w w:val="150"/>
          <w:sz w:val="18"/>
        </w:rPr>
        <w:t>   </w:t>
      </w:r>
      <w:r>
        <w:rPr>
          <w:sz w:val="18"/>
        </w:rPr>
        <w:t>Relatora:</w:t>
      </w:r>
      <w:r>
        <w:rPr>
          <w:spacing w:val="-1"/>
          <w:sz w:val="18"/>
        </w:rPr>
        <w:t> </w:t>
      </w:r>
      <w:r>
        <w:rPr>
          <w:sz w:val="18"/>
        </w:rPr>
        <w:t>Cons(a)</w:t>
      </w:r>
      <w:r>
        <w:rPr>
          <w:spacing w:val="1"/>
          <w:sz w:val="18"/>
        </w:rPr>
        <w:t> </w:t>
      </w:r>
      <w:r>
        <w:rPr>
          <w:sz w:val="18"/>
        </w:rPr>
        <w:t>Patrícia</w:t>
      </w:r>
      <w:r>
        <w:rPr>
          <w:spacing w:val="2"/>
          <w:sz w:val="18"/>
        </w:rPr>
        <w:t> </w:t>
      </w:r>
      <w:r>
        <w:rPr>
          <w:sz w:val="18"/>
        </w:rPr>
        <w:t>Saboya.</w:t>
      </w:r>
      <w:r>
        <w:rPr>
          <w:spacing w:val="58"/>
          <w:w w:val="150"/>
          <w:sz w:val="18"/>
        </w:rPr>
        <w:t>   </w:t>
      </w:r>
      <w:r>
        <w:rPr>
          <w:sz w:val="18"/>
        </w:rPr>
        <w:t>Sessão de</w:t>
      </w:r>
      <w:r>
        <w:rPr>
          <w:spacing w:val="-4"/>
          <w:sz w:val="18"/>
        </w:rPr>
        <w:t> </w:t>
      </w:r>
      <w:r>
        <w:rPr>
          <w:sz w:val="18"/>
        </w:rPr>
        <w:t>07/11/2023.</w:t>
      </w:r>
      <w:r>
        <w:rPr>
          <w:spacing w:val="48"/>
          <w:sz w:val="18"/>
        </w:rPr>
        <w:t>  </w:t>
      </w:r>
      <w:r>
        <w:rPr>
          <w:sz w:val="18"/>
        </w:rPr>
        <w:t>Ata</w:t>
      </w:r>
      <w:r>
        <w:rPr>
          <w:spacing w:val="-1"/>
          <w:sz w:val="18"/>
        </w:rPr>
        <w:t> </w:t>
      </w:r>
      <w:r>
        <w:rPr>
          <w:sz w:val="18"/>
        </w:rPr>
        <w:t>n.° 181.</w:t>
      </w:r>
      <w:r>
        <w:rPr>
          <w:spacing w:val="74"/>
          <w:w w:val="150"/>
          <w:sz w:val="18"/>
        </w:rPr>
        <w:t>   </w:t>
      </w:r>
      <w:r>
        <w:rPr>
          <w:sz w:val="18"/>
        </w:rPr>
        <w:t>DO.:</w:t>
      </w:r>
      <w:r>
        <w:rPr>
          <w:spacing w:val="-5"/>
          <w:sz w:val="18"/>
        </w:rPr>
        <w:t> </w:t>
      </w:r>
      <w:r>
        <w:rPr>
          <w:spacing w:val="-2"/>
          <w:sz w:val="18"/>
        </w:rPr>
        <w:t>07/12/2023.</w:t>
      </w:r>
    </w:p>
    <w:p>
      <w:pPr>
        <w:pStyle w:val="BodyText"/>
      </w:pPr>
    </w:p>
    <w:p>
      <w:pPr>
        <w:pStyle w:val="BodyText"/>
        <w:spacing w:before="85"/>
      </w:pPr>
      <w:r>
        <w:rPr/>
        <mc:AlternateContent>
          <mc:Choice Requires="wps">
            <w:drawing>
              <wp:anchor distT="0" distB="0" distL="0" distR="0" allowOverlap="1" layoutInCell="1" locked="0" behindDoc="1" simplePos="0" relativeHeight="487590400">
                <wp:simplePos x="0" y="0"/>
                <wp:positionH relativeFrom="page">
                  <wp:posOffset>365760</wp:posOffset>
                </wp:positionH>
                <wp:positionV relativeFrom="paragraph">
                  <wp:posOffset>215609</wp:posOffset>
                </wp:positionV>
                <wp:extent cx="6824980" cy="349250"/>
                <wp:effectExtent l="0" t="0" r="0" b="0"/>
                <wp:wrapTopAndBottom/>
                <wp:docPr id="16" name="Group 16"/>
                <wp:cNvGraphicFramePr>
                  <a:graphicFrameLocks/>
                </wp:cNvGraphicFramePr>
                <a:graphic>
                  <a:graphicData uri="http://schemas.microsoft.com/office/word/2010/wordprocessingGroup">
                    <wpg:wgp>
                      <wpg:cNvPr id="16" name="Group 16"/>
                      <wpg:cNvGrpSpPr/>
                      <wpg:grpSpPr>
                        <a:xfrm>
                          <a:off x="0" y="0"/>
                          <a:ext cx="6824980" cy="349250"/>
                          <a:chExt cx="6824980" cy="349250"/>
                        </a:xfrm>
                      </wpg:grpSpPr>
                      <pic:pic>
                        <pic:nvPicPr>
                          <pic:cNvPr id="17" name="Image 17"/>
                          <pic:cNvPicPr/>
                        </pic:nvPicPr>
                        <pic:blipFill>
                          <a:blip r:embed="rId10" cstate="print"/>
                          <a:stretch>
                            <a:fillRect/>
                          </a:stretch>
                        </pic:blipFill>
                        <pic:spPr>
                          <a:xfrm>
                            <a:off x="0" y="0"/>
                            <a:ext cx="6824471" cy="348995"/>
                          </a:xfrm>
                          <a:prstGeom prst="rect">
                            <a:avLst/>
                          </a:prstGeom>
                        </pic:spPr>
                      </pic:pic>
                      <wps:wsp>
                        <wps:cNvPr id="18" name="Textbox 18"/>
                        <wps:cNvSpPr txBox="1"/>
                        <wps:spPr>
                          <a:xfrm>
                            <a:off x="0" y="0"/>
                            <a:ext cx="6824980" cy="349250"/>
                          </a:xfrm>
                          <a:prstGeom prst="rect">
                            <a:avLst/>
                          </a:prstGeom>
                        </wps:spPr>
                        <wps:txbx>
                          <w:txbxContent>
                            <w:p>
                              <w:pPr>
                                <w:spacing w:before="170"/>
                                <w:ind w:left="2" w:right="0" w:firstLine="0"/>
                                <w:jc w:val="center"/>
                                <w:rPr>
                                  <w:rFonts w:ascii="Arial" w:hAnsi="Arial"/>
                                  <w:b/>
                                  <w:sz w:val="22"/>
                                </w:rPr>
                              </w:pPr>
                              <w:r>
                                <w:rPr>
                                  <w:rFonts w:ascii="Arial" w:hAnsi="Arial"/>
                                  <w:b/>
                                  <w:color w:val="FFFFFF"/>
                                  <w:sz w:val="22"/>
                                </w:rPr>
                                <w:t>ACÓRDÃO</w:t>
                              </w:r>
                              <w:r>
                                <w:rPr>
                                  <w:rFonts w:ascii="Arial" w:hAnsi="Arial"/>
                                  <w:b/>
                                  <w:color w:val="FFFFFF"/>
                                  <w:spacing w:val="-8"/>
                                  <w:sz w:val="22"/>
                                </w:rPr>
                                <w:t> </w:t>
                              </w:r>
                              <w:r>
                                <w:rPr>
                                  <w:rFonts w:ascii="Arial" w:hAnsi="Arial"/>
                                  <w:b/>
                                  <w:color w:val="FFFFFF"/>
                                  <w:sz w:val="22"/>
                                </w:rPr>
                                <w:t>Nº</w:t>
                              </w:r>
                              <w:r>
                                <w:rPr>
                                  <w:rFonts w:ascii="Arial" w:hAnsi="Arial"/>
                                  <w:b/>
                                  <w:color w:val="FFFFFF"/>
                                  <w:spacing w:val="-2"/>
                                  <w:sz w:val="22"/>
                                </w:rPr>
                                <w:t> </w:t>
                              </w:r>
                              <w:r>
                                <w:rPr>
                                  <w:rFonts w:ascii="Arial" w:hAnsi="Arial"/>
                                  <w:b/>
                                  <w:color w:val="FFFFFF"/>
                                  <w:sz w:val="22"/>
                                </w:rPr>
                                <w:t>3326</w:t>
                              </w:r>
                              <w:r>
                                <w:rPr>
                                  <w:rFonts w:ascii="Arial" w:hAnsi="Arial"/>
                                  <w:b/>
                                  <w:color w:val="FFFFFF"/>
                                  <w:spacing w:val="-2"/>
                                  <w:sz w:val="22"/>
                                </w:rPr>
                                <w:t> </w:t>
                              </w:r>
                              <w:r>
                                <w:rPr>
                                  <w:rFonts w:ascii="Arial" w:hAnsi="Arial"/>
                                  <w:b/>
                                  <w:color w:val="FFFFFF"/>
                                  <w:sz w:val="22"/>
                                </w:rPr>
                                <w:t>/</w:t>
                              </w:r>
                              <w:r>
                                <w:rPr>
                                  <w:rFonts w:ascii="Arial" w:hAnsi="Arial"/>
                                  <w:b/>
                                  <w:color w:val="FFFFFF"/>
                                  <w:spacing w:val="-1"/>
                                  <w:sz w:val="22"/>
                                </w:rPr>
                                <w:t> </w:t>
                              </w:r>
                              <w:r>
                                <w:rPr>
                                  <w:rFonts w:ascii="Arial" w:hAnsi="Arial"/>
                                  <w:b/>
                                  <w:color w:val="FFFFFF"/>
                                  <w:spacing w:val="-4"/>
                                  <w:sz w:val="22"/>
                                </w:rPr>
                                <w:t>2023</w:t>
                              </w:r>
                            </w:p>
                          </w:txbxContent>
                        </wps:txbx>
                        <wps:bodyPr wrap="square" lIns="0" tIns="0" rIns="0" bIns="0" rtlCol="0">
                          <a:noAutofit/>
                        </wps:bodyPr>
                      </wps:wsp>
                    </wpg:wgp>
                  </a:graphicData>
                </a:graphic>
              </wp:anchor>
            </w:drawing>
          </mc:Choice>
          <mc:Fallback>
            <w:pict>
              <v:group style="position:absolute;margin-left:28.800001pt;margin-top:16.977087pt;width:537.4pt;height:27.5pt;mso-position-horizontal-relative:page;mso-position-vertical-relative:paragraph;z-index:-15726080;mso-wrap-distance-left:0;mso-wrap-distance-right:0" id="docshapegroup14" coordorigin="576,340" coordsize="10748,550">
                <v:shape style="position:absolute;left:576;top:339;width:10748;height:550" type="#_x0000_t75" id="docshape15" stroked="false">
                  <v:imagedata r:id="rId10" o:title=""/>
                </v:shape>
                <v:shape style="position:absolute;left:576;top:339;width:10748;height:550" type="#_x0000_t202" id="docshape16" filled="false" stroked="false">
                  <v:textbox inset="0,0,0,0">
                    <w:txbxContent>
                      <w:p>
                        <w:pPr>
                          <w:spacing w:before="170"/>
                          <w:ind w:left="2" w:right="0" w:firstLine="0"/>
                          <w:jc w:val="center"/>
                          <w:rPr>
                            <w:rFonts w:ascii="Arial" w:hAnsi="Arial"/>
                            <w:b/>
                            <w:sz w:val="22"/>
                          </w:rPr>
                        </w:pPr>
                        <w:r>
                          <w:rPr>
                            <w:rFonts w:ascii="Arial" w:hAnsi="Arial"/>
                            <w:b/>
                            <w:color w:val="FFFFFF"/>
                            <w:sz w:val="22"/>
                          </w:rPr>
                          <w:t>ACÓRDÃO</w:t>
                        </w:r>
                        <w:r>
                          <w:rPr>
                            <w:rFonts w:ascii="Arial" w:hAnsi="Arial"/>
                            <w:b/>
                            <w:color w:val="FFFFFF"/>
                            <w:spacing w:val="-8"/>
                            <w:sz w:val="22"/>
                          </w:rPr>
                          <w:t> </w:t>
                        </w:r>
                        <w:r>
                          <w:rPr>
                            <w:rFonts w:ascii="Arial" w:hAnsi="Arial"/>
                            <w:b/>
                            <w:color w:val="FFFFFF"/>
                            <w:sz w:val="22"/>
                          </w:rPr>
                          <w:t>Nº</w:t>
                        </w:r>
                        <w:r>
                          <w:rPr>
                            <w:rFonts w:ascii="Arial" w:hAnsi="Arial"/>
                            <w:b/>
                            <w:color w:val="FFFFFF"/>
                            <w:spacing w:val="-2"/>
                            <w:sz w:val="22"/>
                          </w:rPr>
                          <w:t> </w:t>
                        </w:r>
                        <w:r>
                          <w:rPr>
                            <w:rFonts w:ascii="Arial" w:hAnsi="Arial"/>
                            <w:b/>
                            <w:color w:val="FFFFFF"/>
                            <w:sz w:val="22"/>
                          </w:rPr>
                          <w:t>3326</w:t>
                        </w:r>
                        <w:r>
                          <w:rPr>
                            <w:rFonts w:ascii="Arial" w:hAnsi="Arial"/>
                            <w:b/>
                            <w:color w:val="FFFFFF"/>
                            <w:spacing w:val="-2"/>
                            <w:sz w:val="22"/>
                          </w:rPr>
                          <w:t> </w:t>
                        </w:r>
                        <w:r>
                          <w:rPr>
                            <w:rFonts w:ascii="Arial" w:hAnsi="Arial"/>
                            <w:b/>
                            <w:color w:val="FFFFFF"/>
                            <w:sz w:val="22"/>
                          </w:rPr>
                          <w:t>/</w:t>
                        </w:r>
                        <w:r>
                          <w:rPr>
                            <w:rFonts w:ascii="Arial" w:hAnsi="Arial"/>
                            <w:b/>
                            <w:color w:val="FFFFFF"/>
                            <w:spacing w:val="-1"/>
                            <w:sz w:val="22"/>
                          </w:rPr>
                          <w:t> </w:t>
                        </w:r>
                        <w:r>
                          <w:rPr>
                            <w:rFonts w:ascii="Arial" w:hAnsi="Arial"/>
                            <w:b/>
                            <w:color w:val="FFFFFF"/>
                            <w:spacing w:val="-4"/>
                            <w:sz w:val="22"/>
                          </w:rPr>
                          <w:t>2023</w:t>
                        </w:r>
                      </w:p>
                    </w:txbxContent>
                  </v:textbox>
                  <w10:wrap type="none"/>
                </v:shape>
                <w10:wrap type="topAndBottom"/>
              </v:group>
            </w:pict>
          </mc:Fallback>
        </mc:AlternateContent>
      </w:r>
    </w:p>
    <w:p>
      <w:pPr>
        <w:pStyle w:val="BodyText"/>
        <w:spacing w:before="106"/>
        <w:rPr>
          <w:sz w:val="24"/>
        </w:rPr>
      </w:pPr>
    </w:p>
    <w:p>
      <w:pPr>
        <w:pStyle w:val="Heading1"/>
        <w:ind w:right="304"/>
      </w:pPr>
      <w:r>
        <w:rPr/>
        <w:t>PRESTAÇÃO DE CONTAS DE GESTÃO. AUSÊNCIA DE LICITAÇÃO. PAGAMENTO IRREGULAR DE EMPENHO. DESCUMPRIMENTO DA CONSTITUIÇÃO FEDERAL.</w:t>
      </w:r>
    </w:p>
    <w:p>
      <w:pPr>
        <w:pStyle w:val="BodyText"/>
        <w:spacing w:before="253"/>
        <w:ind w:left="14" w:right="305"/>
        <w:jc w:val="both"/>
      </w:pPr>
      <w:r>
        <w:rPr/>
        <w:t>Prestação de Contas de Gestão da Secretaria Municipal de Educação de Juazeiro do Norte. Presença de irregularidade atinente à realização de despesa sem o devido procedimento licitatório, em desacordo ao disposto no art.37, inciso XXI da CF/88 e art. 2º da Lei Federal nº 8.666/93. A responsável não logrou demonstrar a existência de processo licitatório em relação aos empenhos em questão. Considerando a natureza da infração e a relevância do valor envolvido, restou configurada falha de natureza grave, a qual enseja o julgamento irregular da conta. A Segunda Câmara do Tribunal de Contas do Estado do Ceará, por unanimidade de votos, julgou irregulares as contas, nos termos do art. 15, III, da LOTCE, com imputação de multa, sem prejuízo de determinação para que a atual gestão realize o devido processo licitatório para suas aquisições, nos termos da legislação vigente.</w:t>
      </w:r>
    </w:p>
    <w:p>
      <w:pPr>
        <w:pStyle w:val="BodyText"/>
        <w:spacing w:before="1"/>
      </w:pPr>
    </w:p>
    <w:p>
      <w:pPr>
        <w:tabs>
          <w:tab w:pos="5797" w:val="left" w:leader="none"/>
          <w:tab w:pos="9392" w:val="left" w:leader="none"/>
        </w:tabs>
        <w:spacing w:before="0"/>
        <w:ind w:left="14" w:right="0" w:firstLine="0"/>
        <w:jc w:val="both"/>
        <w:rPr>
          <w:sz w:val="18"/>
        </w:rPr>
      </w:pPr>
      <w:r>
        <w:rPr>
          <w:sz w:val="18"/>
        </w:rPr>
        <w:t>Processo</w:t>
      </w:r>
      <w:r>
        <w:rPr>
          <w:spacing w:val="-1"/>
          <w:sz w:val="18"/>
        </w:rPr>
        <w:t> </w:t>
      </w:r>
      <w:r>
        <w:rPr>
          <w:sz w:val="18"/>
        </w:rPr>
        <w:t>nº:</w:t>
      </w:r>
      <w:r>
        <w:rPr>
          <w:spacing w:val="-4"/>
          <w:sz w:val="18"/>
        </w:rPr>
        <w:t> </w:t>
      </w:r>
      <w:r>
        <w:rPr>
          <w:sz w:val="18"/>
        </w:rPr>
        <w:t>17893/2021-6.</w:t>
      </w:r>
      <w:r>
        <w:rPr>
          <w:spacing w:val="73"/>
          <w:w w:val="150"/>
          <w:sz w:val="18"/>
        </w:rPr>
        <w:t>  </w:t>
      </w:r>
      <w:r>
        <w:rPr>
          <w:sz w:val="18"/>
        </w:rPr>
        <w:t>Relator:</w:t>
      </w:r>
      <w:r>
        <w:rPr>
          <w:spacing w:val="1"/>
          <w:sz w:val="18"/>
        </w:rPr>
        <w:t> </w:t>
      </w:r>
      <w:r>
        <w:rPr>
          <w:sz w:val="18"/>
        </w:rPr>
        <w:t>Cons. Rholden</w:t>
      </w:r>
      <w:r>
        <w:rPr>
          <w:spacing w:val="-3"/>
          <w:sz w:val="18"/>
        </w:rPr>
        <w:t> </w:t>
      </w:r>
      <w:r>
        <w:rPr>
          <w:spacing w:val="-2"/>
          <w:sz w:val="18"/>
        </w:rPr>
        <w:t>Queiroz.</w:t>
      </w:r>
      <w:r>
        <w:rPr>
          <w:sz w:val="18"/>
        </w:rPr>
        <w:tab/>
        <w:t>Sessão</w:t>
      </w:r>
      <w:r>
        <w:rPr>
          <w:spacing w:val="-2"/>
          <w:sz w:val="18"/>
        </w:rPr>
        <w:t> </w:t>
      </w:r>
      <w:r>
        <w:rPr>
          <w:sz w:val="18"/>
        </w:rPr>
        <w:t>de</w:t>
      </w:r>
      <w:r>
        <w:rPr>
          <w:spacing w:val="-4"/>
          <w:sz w:val="18"/>
        </w:rPr>
        <w:t> </w:t>
      </w:r>
      <w:r>
        <w:rPr>
          <w:sz w:val="18"/>
        </w:rPr>
        <w:t>06/11/2023.</w:t>
      </w:r>
      <w:r>
        <w:rPr>
          <w:spacing w:val="-2"/>
          <w:sz w:val="18"/>
        </w:rPr>
        <w:t> </w:t>
      </w:r>
      <w:r>
        <w:rPr>
          <w:sz w:val="18"/>
        </w:rPr>
        <w:t>Ata</w:t>
      </w:r>
      <w:r>
        <w:rPr>
          <w:spacing w:val="1"/>
          <w:sz w:val="18"/>
        </w:rPr>
        <w:t> </w:t>
      </w:r>
      <w:r>
        <w:rPr>
          <w:spacing w:val="-2"/>
          <w:sz w:val="18"/>
        </w:rPr>
        <w:t>n.°180.</w:t>
      </w:r>
      <w:r>
        <w:rPr>
          <w:sz w:val="18"/>
        </w:rPr>
        <w:tab/>
        <w:t>DO.</w:t>
      </w:r>
      <w:r>
        <w:rPr>
          <w:spacing w:val="-4"/>
          <w:sz w:val="18"/>
        </w:rPr>
        <w:t> </w:t>
      </w:r>
      <w:r>
        <w:rPr>
          <w:spacing w:val="-2"/>
          <w:sz w:val="18"/>
        </w:rPr>
        <w:t>27/11/2023.</w:t>
      </w:r>
    </w:p>
    <w:p>
      <w:pPr>
        <w:spacing w:after="0"/>
        <w:jc w:val="both"/>
        <w:rPr>
          <w:sz w:val="18"/>
        </w:rPr>
        <w:sectPr>
          <w:pgSz w:w="11910" w:h="16840"/>
          <w:pgMar w:header="0" w:footer="921" w:top="1340" w:bottom="1140" w:left="566" w:right="283"/>
        </w:sectPr>
      </w:pPr>
    </w:p>
    <w:p>
      <w:pPr>
        <w:pStyle w:val="BodyText"/>
        <w:ind w:left="10"/>
      </w:pPr>
      <w:r>
        <w:rPr/>
        <mc:AlternateContent>
          <mc:Choice Requires="wps">
            <w:drawing>
              <wp:inline distT="0" distB="0" distL="0" distR="0">
                <wp:extent cx="6824980" cy="349250"/>
                <wp:effectExtent l="0" t="0" r="0" b="3175"/>
                <wp:docPr id="19" name="Group 19"/>
                <wp:cNvGraphicFramePr>
                  <a:graphicFrameLocks/>
                </wp:cNvGraphicFramePr>
                <a:graphic>
                  <a:graphicData uri="http://schemas.microsoft.com/office/word/2010/wordprocessingGroup">
                    <wpg:wgp>
                      <wpg:cNvPr id="19" name="Group 19"/>
                      <wpg:cNvGrpSpPr/>
                      <wpg:grpSpPr>
                        <a:xfrm>
                          <a:off x="0" y="0"/>
                          <a:ext cx="6824980" cy="349250"/>
                          <a:chExt cx="6824980" cy="349250"/>
                        </a:xfrm>
                      </wpg:grpSpPr>
                      <pic:pic>
                        <pic:nvPicPr>
                          <pic:cNvPr id="20" name="Image 20"/>
                          <pic:cNvPicPr/>
                        </pic:nvPicPr>
                        <pic:blipFill>
                          <a:blip r:embed="rId10" cstate="print"/>
                          <a:stretch>
                            <a:fillRect/>
                          </a:stretch>
                        </pic:blipFill>
                        <pic:spPr>
                          <a:xfrm>
                            <a:off x="0" y="0"/>
                            <a:ext cx="6824471" cy="348995"/>
                          </a:xfrm>
                          <a:prstGeom prst="rect">
                            <a:avLst/>
                          </a:prstGeom>
                        </pic:spPr>
                      </pic:pic>
                      <wps:wsp>
                        <wps:cNvPr id="21" name="Textbox 21"/>
                        <wps:cNvSpPr txBox="1"/>
                        <wps:spPr>
                          <a:xfrm>
                            <a:off x="0" y="0"/>
                            <a:ext cx="6824980" cy="349250"/>
                          </a:xfrm>
                          <a:prstGeom prst="rect">
                            <a:avLst/>
                          </a:prstGeom>
                        </wps:spPr>
                        <wps:txbx>
                          <w:txbxContent>
                            <w:p>
                              <w:pPr>
                                <w:spacing w:before="170"/>
                                <w:ind w:left="2" w:right="0" w:firstLine="0"/>
                                <w:jc w:val="center"/>
                                <w:rPr>
                                  <w:rFonts w:ascii="Arial" w:hAnsi="Arial"/>
                                  <w:b/>
                                  <w:sz w:val="22"/>
                                </w:rPr>
                              </w:pPr>
                              <w:r>
                                <w:rPr>
                                  <w:rFonts w:ascii="Arial" w:hAnsi="Arial"/>
                                  <w:b/>
                                  <w:color w:val="FFFFFF"/>
                                  <w:sz w:val="22"/>
                                </w:rPr>
                                <w:t>ACÓRDÃO</w:t>
                              </w:r>
                              <w:r>
                                <w:rPr>
                                  <w:rFonts w:ascii="Arial" w:hAnsi="Arial"/>
                                  <w:b/>
                                  <w:color w:val="FFFFFF"/>
                                  <w:spacing w:val="-4"/>
                                  <w:sz w:val="22"/>
                                </w:rPr>
                                <w:t> </w:t>
                              </w:r>
                              <w:r>
                                <w:rPr>
                                  <w:rFonts w:ascii="Arial" w:hAnsi="Arial"/>
                                  <w:b/>
                                  <w:color w:val="FFFFFF"/>
                                  <w:sz w:val="22"/>
                                </w:rPr>
                                <w:t>N°</w:t>
                              </w:r>
                              <w:r>
                                <w:rPr>
                                  <w:rFonts w:ascii="Arial" w:hAnsi="Arial"/>
                                  <w:b/>
                                  <w:color w:val="FFFFFF"/>
                                  <w:spacing w:val="-4"/>
                                  <w:sz w:val="22"/>
                                </w:rPr>
                                <w:t> </w:t>
                              </w:r>
                              <w:r>
                                <w:rPr>
                                  <w:rFonts w:ascii="Arial" w:hAnsi="Arial"/>
                                  <w:b/>
                                  <w:color w:val="FFFFFF"/>
                                  <w:spacing w:val="-2"/>
                                  <w:sz w:val="22"/>
                                </w:rPr>
                                <w:t>3327/2023</w:t>
                              </w:r>
                            </w:p>
                          </w:txbxContent>
                        </wps:txbx>
                        <wps:bodyPr wrap="square" lIns="0" tIns="0" rIns="0" bIns="0" rtlCol="0">
                          <a:noAutofit/>
                        </wps:bodyPr>
                      </wps:wsp>
                    </wpg:wgp>
                  </a:graphicData>
                </a:graphic>
              </wp:inline>
            </w:drawing>
          </mc:Choice>
          <mc:Fallback>
            <w:pict>
              <v:group style="width:537.4pt;height:27.5pt;mso-position-horizontal-relative:char;mso-position-vertical-relative:line" id="docshapegroup17" coordorigin="0,0" coordsize="10748,550">
                <v:shape style="position:absolute;left:0;top:0;width:10748;height:550" type="#_x0000_t75" id="docshape18" stroked="false">
                  <v:imagedata r:id="rId10" o:title=""/>
                </v:shape>
                <v:shape style="position:absolute;left:0;top:0;width:10748;height:550" type="#_x0000_t202" id="docshape19" filled="false" stroked="false">
                  <v:textbox inset="0,0,0,0">
                    <w:txbxContent>
                      <w:p>
                        <w:pPr>
                          <w:spacing w:before="170"/>
                          <w:ind w:left="2" w:right="0" w:firstLine="0"/>
                          <w:jc w:val="center"/>
                          <w:rPr>
                            <w:rFonts w:ascii="Arial" w:hAnsi="Arial"/>
                            <w:b/>
                            <w:sz w:val="22"/>
                          </w:rPr>
                        </w:pPr>
                        <w:r>
                          <w:rPr>
                            <w:rFonts w:ascii="Arial" w:hAnsi="Arial"/>
                            <w:b/>
                            <w:color w:val="FFFFFF"/>
                            <w:sz w:val="22"/>
                          </w:rPr>
                          <w:t>ACÓRDÃO</w:t>
                        </w:r>
                        <w:r>
                          <w:rPr>
                            <w:rFonts w:ascii="Arial" w:hAnsi="Arial"/>
                            <w:b/>
                            <w:color w:val="FFFFFF"/>
                            <w:spacing w:val="-4"/>
                            <w:sz w:val="22"/>
                          </w:rPr>
                          <w:t> </w:t>
                        </w:r>
                        <w:r>
                          <w:rPr>
                            <w:rFonts w:ascii="Arial" w:hAnsi="Arial"/>
                            <w:b/>
                            <w:color w:val="FFFFFF"/>
                            <w:sz w:val="22"/>
                          </w:rPr>
                          <w:t>N°</w:t>
                        </w:r>
                        <w:r>
                          <w:rPr>
                            <w:rFonts w:ascii="Arial" w:hAnsi="Arial"/>
                            <w:b/>
                            <w:color w:val="FFFFFF"/>
                            <w:spacing w:val="-4"/>
                            <w:sz w:val="22"/>
                          </w:rPr>
                          <w:t> </w:t>
                        </w:r>
                        <w:r>
                          <w:rPr>
                            <w:rFonts w:ascii="Arial" w:hAnsi="Arial"/>
                            <w:b/>
                            <w:color w:val="FFFFFF"/>
                            <w:spacing w:val="-2"/>
                            <w:sz w:val="22"/>
                          </w:rPr>
                          <w:t>3327/2023</w:t>
                        </w:r>
                      </w:p>
                    </w:txbxContent>
                  </v:textbox>
                  <w10:wrap type="none"/>
                </v:shape>
              </v:group>
            </w:pict>
          </mc:Fallback>
        </mc:AlternateContent>
      </w:r>
      <w:r>
        <w:rPr/>
      </w:r>
    </w:p>
    <w:p>
      <w:pPr>
        <w:pStyle w:val="BodyText"/>
        <w:spacing w:before="142"/>
        <w:rPr>
          <w:sz w:val="22"/>
        </w:rPr>
      </w:pPr>
    </w:p>
    <w:p>
      <w:pPr>
        <w:pStyle w:val="Heading2"/>
        <w:ind w:right="304"/>
      </w:pPr>
      <w:r>
        <w:rPr/>
        <w:t>PRESTAÇÃO DE CONTAS DE GESTÃO. AUTARQUIA MUNICIPAL. OMISSÃO EXTRATO CONTA BANCÁRIA. EXERCÍCIO FINANCEIRO. REGISTRO CONTÁBIL. AUSÊNCIA DE EMPENHO PRÉVIO.</w:t>
      </w:r>
    </w:p>
    <w:p>
      <w:pPr>
        <w:pStyle w:val="BodyText"/>
        <w:spacing w:before="1"/>
        <w:rPr>
          <w:rFonts w:ascii="Arial"/>
          <w:b/>
          <w:sz w:val="22"/>
        </w:rPr>
      </w:pPr>
    </w:p>
    <w:p>
      <w:pPr>
        <w:pStyle w:val="BodyText"/>
        <w:ind w:left="14" w:right="299"/>
        <w:jc w:val="both"/>
      </w:pPr>
      <w:r>
        <w:rPr/>
        <w:t>Prestação de Contas de Gestão da Autarquia Municipal de Trânsito de Caucaia. Constatou-se a </w:t>
      </w:r>
      <w:r>
        <w:rPr>
          <w:rFonts w:ascii="Arial" w:hAnsi="Arial"/>
          <w:i/>
        </w:rPr>
        <w:t>“omissão na apresentação dos extratos das contas bancárias, em descumprimento da IN nº 03/2013 – TCM-CE”</w:t>
      </w:r>
      <w:r>
        <w:rPr/>
        <w:t>. A Lei nº 4.320/64, dispõe em seu Artigo 35, que pertencem ao exercício financeiro as receitas nele arrecadadas e as despesas nele legalmente empenhadas. Logo, no presente caso, embora o empenho discriminado tenha sido realizado no ano de</w:t>
      </w:r>
      <w:r>
        <w:rPr>
          <w:spacing w:val="40"/>
        </w:rPr>
        <w:t> </w:t>
      </w:r>
      <w:r>
        <w:rPr/>
        <w:t>2021, diz respeito a despesa do exercício de 2020. Na ocasião do fato gerador, caberia ao gestor realizar o registro contábil, revelando a ausência de processo de empenho prévio das despesas assumidas. Vale ressaltar que, a realização de despesa sem prévio empenho é infração art. 35 da Lei nº 4.320/64, por consequência, deve ser empenhada no exercício em que foi constituída. A Primeira Câmara Virtual do Tribunal de Contas do Estado do Ceará, por unanimidade de votos, julgou as presentes contas regulares com ressalva, com fundamento nos arts. 15, inciso II e 17 da Lei nº 12.509/95.</w:t>
      </w:r>
    </w:p>
    <w:p>
      <w:pPr>
        <w:pStyle w:val="BodyText"/>
      </w:pPr>
    </w:p>
    <w:p>
      <w:pPr>
        <w:spacing w:before="0"/>
        <w:ind w:left="14" w:right="0" w:firstLine="0"/>
        <w:jc w:val="both"/>
        <w:rPr>
          <w:sz w:val="18"/>
        </w:rPr>
      </w:pPr>
      <w:r>
        <w:rPr>
          <w:sz w:val="18"/>
        </w:rPr>
        <w:t>Processo</w:t>
      </w:r>
      <w:r>
        <w:rPr>
          <w:spacing w:val="-1"/>
          <w:sz w:val="18"/>
        </w:rPr>
        <w:t> </w:t>
      </w:r>
      <w:r>
        <w:rPr>
          <w:sz w:val="18"/>
        </w:rPr>
        <w:t>nº</w:t>
      </w:r>
      <w:r>
        <w:rPr>
          <w:spacing w:val="-1"/>
          <w:sz w:val="18"/>
        </w:rPr>
        <w:t> </w:t>
      </w:r>
      <w:r>
        <w:rPr>
          <w:sz w:val="18"/>
        </w:rPr>
        <w:t>16829/2021-3.</w:t>
      </w:r>
      <w:r>
        <w:rPr>
          <w:spacing w:val="74"/>
          <w:w w:val="150"/>
          <w:sz w:val="18"/>
        </w:rPr>
        <w:t>  </w:t>
      </w:r>
      <w:r>
        <w:rPr>
          <w:sz w:val="18"/>
        </w:rPr>
        <w:t>Relator(a):</w:t>
      </w:r>
      <w:r>
        <w:rPr>
          <w:spacing w:val="1"/>
          <w:sz w:val="18"/>
        </w:rPr>
        <w:t> </w:t>
      </w:r>
      <w:r>
        <w:rPr>
          <w:sz w:val="18"/>
        </w:rPr>
        <w:t>Cons(a).</w:t>
      </w:r>
      <w:r>
        <w:rPr>
          <w:spacing w:val="-2"/>
          <w:sz w:val="18"/>
        </w:rPr>
        <w:t> </w:t>
      </w:r>
      <w:r>
        <w:rPr>
          <w:sz w:val="18"/>
        </w:rPr>
        <w:t>Patrícia</w:t>
      </w:r>
      <w:r>
        <w:rPr>
          <w:spacing w:val="-2"/>
          <w:sz w:val="18"/>
        </w:rPr>
        <w:t> </w:t>
      </w:r>
      <w:r>
        <w:rPr>
          <w:sz w:val="18"/>
        </w:rPr>
        <w:t>Saboya.</w:t>
      </w:r>
      <w:r>
        <w:rPr>
          <w:spacing w:val="74"/>
          <w:w w:val="150"/>
          <w:sz w:val="18"/>
        </w:rPr>
        <w:t>  </w:t>
      </w:r>
      <w:r>
        <w:rPr>
          <w:sz w:val="18"/>
        </w:rPr>
        <w:t>Ata</w:t>
      </w:r>
      <w:r>
        <w:rPr>
          <w:spacing w:val="-1"/>
          <w:sz w:val="18"/>
        </w:rPr>
        <w:t> </w:t>
      </w:r>
      <w:r>
        <w:rPr>
          <w:sz w:val="18"/>
        </w:rPr>
        <w:t>n.°180.</w:t>
      </w:r>
      <w:r>
        <w:rPr>
          <w:spacing w:val="57"/>
          <w:w w:val="150"/>
          <w:sz w:val="18"/>
        </w:rPr>
        <w:t>   </w:t>
      </w:r>
      <w:r>
        <w:rPr>
          <w:sz w:val="18"/>
        </w:rPr>
        <w:t>Sessão</w:t>
      </w:r>
      <w:r>
        <w:rPr>
          <w:spacing w:val="-2"/>
          <w:sz w:val="18"/>
        </w:rPr>
        <w:t> </w:t>
      </w:r>
      <w:r>
        <w:rPr>
          <w:sz w:val="18"/>
        </w:rPr>
        <w:t>de</w:t>
      </w:r>
      <w:r>
        <w:rPr>
          <w:spacing w:val="1"/>
          <w:sz w:val="18"/>
        </w:rPr>
        <w:t> </w:t>
      </w:r>
      <w:r>
        <w:rPr>
          <w:sz w:val="18"/>
        </w:rPr>
        <w:t>30/10/2023.</w:t>
      </w:r>
      <w:r>
        <w:rPr>
          <w:spacing w:val="74"/>
          <w:sz w:val="18"/>
        </w:rPr>
        <w:t>    </w:t>
      </w:r>
      <w:r>
        <w:rPr>
          <w:sz w:val="18"/>
        </w:rPr>
        <w:t>DO</w:t>
      </w:r>
      <w:r>
        <w:rPr>
          <w:spacing w:val="-1"/>
          <w:sz w:val="18"/>
        </w:rPr>
        <w:t> </w:t>
      </w:r>
      <w:r>
        <w:rPr>
          <w:spacing w:val="-2"/>
          <w:sz w:val="18"/>
        </w:rPr>
        <w:t>23/11/2023.</w:t>
      </w:r>
    </w:p>
    <w:p>
      <w:pPr>
        <w:pStyle w:val="BodyText"/>
      </w:pPr>
    </w:p>
    <w:p>
      <w:pPr>
        <w:pStyle w:val="BodyText"/>
      </w:pPr>
    </w:p>
    <w:p>
      <w:pPr>
        <w:pStyle w:val="BodyText"/>
        <w:spacing w:before="107"/>
      </w:pPr>
      <w:r>
        <w:rPr/>
        <mc:AlternateContent>
          <mc:Choice Requires="wps">
            <w:drawing>
              <wp:anchor distT="0" distB="0" distL="0" distR="0" allowOverlap="1" layoutInCell="1" locked="0" behindDoc="1" simplePos="0" relativeHeight="487591424">
                <wp:simplePos x="0" y="0"/>
                <wp:positionH relativeFrom="page">
                  <wp:posOffset>365760</wp:posOffset>
                </wp:positionH>
                <wp:positionV relativeFrom="paragraph">
                  <wp:posOffset>229334</wp:posOffset>
                </wp:positionV>
                <wp:extent cx="6824980" cy="349250"/>
                <wp:effectExtent l="0" t="0" r="0" b="0"/>
                <wp:wrapTopAndBottom/>
                <wp:docPr id="22" name="Group 22"/>
                <wp:cNvGraphicFramePr>
                  <a:graphicFrameLocks/>
                </wp:cNvGraphicFramePr>
                <a:graphic>
                  <a:graphicData uri="http://schemas.microsoft.com/office/word/2010/wordprocessingGroup">
                    <wpg:wgp>
                      <wpg:cNvPr id="22" name="Group 22"/>
                      <wpg:cNvGrpSpPr/>
                      <wpg:grpSpPr>
                        <a:xfrm>
                          <a:off x="0" y="0"/>
                          <a:ext cx="6824980" cy="349250"/>
                          <a:chExt cx="6824980" cy="349250"/>
                        </a:xfrm>
                      </wpg:grpSpPr>
                      <pic:pic>
                        <pic:nvPicPr>
                          <pic:cNvPr id="23" name="Image 23"/>
                          <pic:cNvPicPr/>
                        </pic:nvPicPr>
                        <pic:blipFill>
                          <a:blip r:embed="rId10" cstate="print"/>
                          <a:stretch>
                            <a:fillRect/>
                          </a:stretch>
                        </pic:blipFill>
                        <pic:spPr>
                          <a:xfrm>
                            <a:off x="0" y="0"/>
                            <a:ext cx="6824471" cy="348995"/>
                          </a:xfrm>
                          <a:prstGeom prst="rect">
                            <a:avLst/>
                          </a:prstGeom>
                        </pic:spPr>
                      </pic:pic>
                      <wps:wsp>
                        <wps:cNvPr id="24" name="Textbox 24"/>
                        <wps:cNvSpPr txBox="1"/>
                        <wps:spPr>
                          <a:xfrm>
                            <a:off x="0" y="0"/>
                            <a:ext cx="6824980" cy="349250"/>
                          </a:xfrm>
                          <a:prstGeom prst="rect">
                            <a:avLst/>
                          </a:prstGeom>
                        </wps:spPr>
                        <wps:txbx>
                          <w:txbxContent>
                            <w:p>
                              <w:pPr>
                                <w:spacing w:before="168"/>
                                <w:ind w:left="2" w:right="0" w:firstLine="0"/>
                                <w:jc w:val="center"/>
                                <w:rPr>
                                  <w:rFonts w:ascii="Arial" w:hAnsi="Arial"/>
                                  <w:b/>
                                  <w:sz w:val="22"/>
                                </w:rPr>
                              </w:pPr>
                              <w:r>
                                <w:rPr>
                                  <w:rFonts w:ascii="Arial" w:hAnsi="Arial"/>
                                  <w:b/>
                                  <w:color w:val="FFFFFF"/>
                                  <w:sz w:val="22"/>
                                </w:rPr>
                                <w:t>ACÓRDÃO</w:t>
                              </w:r>
                              <w:r>
                                <w:rPr>
                                  <w:rFonts w:ascii="Arial" w:hAnsi="Arial"/>
                                  <w:b/>
                                  <w:color w:val="FFFFFF"/>
                                  <w:spacing w:val="-6"/>
                                  <w:sz w:val="22"/>
                                </w:rPr>
                                <w:t> </w:t>
                              </w:r>
                              <w:r>
                                <w:rPr>
                                  <w:rFonts w:ascii="Arial" w:hAnsi="Arial"/>
                                  <w:b/>
                                  <w:color w:val="FFFFFF"/>
                                  <w:sz w:val="22"/>
                                </w:rPr>
                                <w:t>Nº</w:t>
                              </w:r>
                              <w:r>
                                <w:rPr>
                                  <w:rFonts w:ascii="Arial" w:hAnsi="Arial"/>
                                  <w:b/>
                                  <w:color w:val="FFFFFF"/>
                                  <w:spacing w:val="-2"/>
                                  <w:sz w:val="22"/>
                                </w:rPr>
                                <w:t> 3129/2023</w:t>
                              </w:r>
                            </w:p>
                          </w:txbxContent>
                        </wps:txbx>
                        <wps:bodyPr wrap="square" lIns="0" tIns="0" rIns="0" bIns="0" rtlCol="0">
                          <a:noAutofit/>
                        </wps:bodyPr>
                      </wps:wsp>
                    </wpg:wgp>
                  </a:graphicData>
                </a:graphic>
              </wp:anchor>
            </w:drawing>
          </mc:Choice>
          <mc:Fallback>
            <w:pict>
              <v:group style="position:absolute;margin-left:28.800001pt;margin-top:18.057863pt;width:537.4pt;height:27.5pt;mso-position-horizontal-relative:page;mso-position-vertical-relative:paragraph;z-index:-15725056;mso-wrap-distance-left:0;mso-wrap-distance-right:0" id="docshapegroup20" coordorigin="576,361" coordsize="10748,550">
                <v:shape style="position:absolute;left:576;top:361;width:10748;height:550" type="#_x0000_t75" id="docshape21" stroked="false">
                  <v:imagedata r:id="rId10" o:title=""/>
                </v:shape>
                <v:shape style="position:absolute;left:576;top:361;width:10748;height:550" type="#_x0000_t202" id="docshape22" filled="false" stroked="false">
                  <v:textbox inset="0,0,0,0">
                    <w:txbxContent>
                      <w:p>
                        <w:pPr>
                          <w:spacing w:before="168"/>
                          <w:ind w:left="2" w:right="0" w:firstLine="0"/>
                          <w:jc w:val="center"/>
                          <w:rPr>
                            <w:rFonts w:ascii="Arial" w:hAnsi="Arial"/>
                            <w:b/>
                            <w:sz w:val="22"/>
                          </w:rPr>
                        </w:pPr>
                        <w:r>
                          <w:rPr>
                            <w:rFonts w:ascii="Arial" w:hAnsi="Arial"/>
                            <w:b/>
                            <w:color w:val="FFFFFF"/>
                            <w:sz w:val="22"/>
                          </w:rPr>
                          <w:t>ACÓRDÃO</w:t>
                        </w:r>
                        <w:r>
                          <w:rPr>
                            <w:rFonts w:ascii="Arial" w:hAnsi="Arial"/>
                            <w:b/>
                            <w:color w:val="FFFFFF"/>
                            <w:spacing w:val="-6"/>
                            <w:sz w:val="22"/>
                          </w:rPr>
                          <w:t> </w:t>
                        </w:r>
                        <w:r>
                          <w:rPr>
                            <w:rFonts w:ascii="Arial" w:hAnsi="Arial"/>
                            <w:b/>
                            <w:color w:val="FFFFFF"/>
                            <w:sz w:val="22"/>
                          </w:rPr>
                          <w:t>Nº</w:t>
                        </w:r>
                        <w:r>
                          <w:rPr>
                            <w:rFonts w:ascii="Arial" w:hAnsi="Arial"/>
                            <w:b/>
                            <w:color w:val="FFFFFF"/>
                            <w:spacing w:val="-2"/>
                            <w:sz w:val="22"/>
                          </w:rPr>
                          <w:t> 3129/2023</w:t>
                        </w:r>
                      </w:p>
                    </w:txbxContent>
                  </v:textbox>
                  <w10:wrap type="none"/>
                </v:shape>
                <w10:wrap type="topAndBottom"/>
              </v:group>
            </w:pict>
          </mc:Fallback>
        </mc:AlternateContent>
      </w:r>
    </w:p>
    <w:p>
      <w:pPr>
        <w:pStyle w:val="BodyText"/>
        <w:rPr>
          <w:sz w:val="22"/>
        </w:rPr>
      </w:pPr>
    </w:p>
    <w:p>
      <w:pPr>
        <w:pStyle w:val="BodyText"/>
        <w:spacing w:before="46"/>
        <w:rPr>
          <w:sz w:val="22"/>
        </w:rPr>
      </w:pPr>
    </w:p>
    <w:p>
      <w:pPr>
        <w:pStyle w:val="Heading2"/>
      </w:pPr>
      <w:r>
        <w:rPr/>
        <w:t>PRESTAÇÃO DE CONTAS DE GESTÃO. EDUCAÇÃO. FUNDEB. DESPESA EXTRAORÇAMENTÁRIA. REPASSE A MENOR. INSS</w:t>
      </w:r>
    </w:p>
    <w:p>
      <w:pPr>
        <w:pStyle w:val="BodyText"/>
        <w:rPr>
          <w:rFonts w:ascii="Arial"/>
          <w:b/>
          <w:sz w:val="22"/>
        </w:rPr>
      </w:pPr>
    </w:p>
    <w:p>
      <w:pPr>
        <w:pStyle w:val="BodyText"/>
        <w:rPr>
          <w:rFonts w:ascii="Arial"/>
          <w:b/>
          <w:sz w:val="22"/>
        </w:rPr>
      </w:pPr>
    </w:p>
    <w:p>
      <w:pPr>
        <w:pStyle w:val="BodyText"/>
        <w:ind w:left="14" w:right="300"/>
        <w:jc w:val="both"/>
      </w:pPr>
      <w:r>
        <w:rPr/>
        <w:t>Prestação de contas em que constatou-se, após confronto realizado entre as “Consignações” das Receitas e das respectivas Despesas, que a Unidade Gestora- UG não repassou de forma integral o produto da arrecadação das</w:t>
      </w:r>
      <w:r>
        <w:rPr>
          <w:spacing w:val="40"/>
        </w:rPr>
        <w:t> </w:t>
      </w:r>
      <w:r>
        <w:rPr/>
        <w:t>contas “ISS-FDEB” e Instituto Nacional do Seguro Social- INSS. Salientou-se ainda que o não repasse ocasionou o endividamento de curto prazo do Município. O Ministério Público opina pela aplicação de multa e Representação ao Ministério Público Federal</w:t>
      </w:r>
      <w:r>
        <w:rPr>
          <w:spacing w:val="-2"/>
        </w:rPr>
        <w:t> </w:t>
      </w:r>
      <w:r>
        <w:rPr/>
        <w:t>para conhecimento e</w:t>
      </w:r>
      <w:r>
        <w:rPr>
          <w:spacing w:val="-1"/>
        </w:rPr>
        <w:t> </w:t>
      </w:r>
      <w:r>
        <w:rPr/>
        <w:t>adoção das eventuais providências a</w:t>
      </w:r>
      <w:r>
        <w:rPr>
          <w:spacing w:val="-2"/>
        </w:rPr>
        <w:t> </w:t>
      </w:r>
      <w:r>
        <w:rPr/>
        <w:t>seu cargo, diante</w:t>
      </w:r>
      <w:r>
        <w:rPr>
          <w:spacing w:val="-1"/>
        </w:rPr>
        <w:t> </w:t>
      </w:r>
      <w:r>
        <w:rPr/>
        <w:t>da</w:t>
      </w:r>
      <w:r>
        <w:rPr>
          <w:spacing w:val="-1"/>
        </w:rPr>
        <w:t> </w:t>
      </w:r>
      <w:r>
        <w:rPr/>
        <w:t>configuração, em tese, crime de apropriação indébita previdenciária, fato de maior gravidade, conforme o art. 168-A do Código Penal. Ademais, no</w:t>
      </w:r>
      <w:r>
        <w:rPr>
          <w:spacing w:val="-2"/>
        </w:rPr>
        <w:t> </w:t>
      </w:r>
      <w:r>
        <w:rPr/>
        <w:t>relatório</w:t>
      </w:r>
      <w:r>
        <w:rPr>
          <w:spacing w:val="-2"/>
        </w:rPr>
        <w:t> </w:t>
      </w:r>
      <w:r>
        <w:rPr/>
        <w:t>de Instrução Inicial verificou</w:t>
      </w:r>
      <w:r>
        <w:rPr>
          <w:spacing w:val="-4"/>
        </w:rPr>
        <w:t> </w:t>
      </w:r>
      <w:r>
        <w:rPr/>
        <w:t>que após</w:t>
      </w:r>
      <w:r>
        <w:rPr>
          <w:spacing w:val="-1"/>
        </w:rPr>
        <w:t> </w:t>
      </w:r>
      <w:r>
        <w:rPr/>
        <w:t>considerar a</w:t>
      </w:r>
      <w:r>
        <w:rPr>
          <w:spacing w:val="-4"/>
        </w:rPr>
        <w:t> </w:t>
      </w:r>
      <w:r>
        <w:rPr/>
        <w:t>divergência</w:t>
      </w:r>
      <w:r>
        <w:rPr>
          <w:spacing w:val="-3"/>
        </w:rPr>
        <w:t> </w:t>
      </w:r>
      <w:r>
        <w:rPr/>
        <w:t>dos</w:t>
      </w:r>
      <w:r>
        <w:rPr>
          <w:spacing w:val="-2"/>
        </w:rPr>
        <w:t> </w:t>
      </w:r>
      <w:r>
        <w:rPr/>
        <w:t>valores</w:t>
      </w:r>
      <w:r>
        <w:rPr>
          <w:spacing w:val="-2"/>
        </w:rPr>
        <w:t> </w:t>
      </w:r>
      <w:r>
        <w:rPr/>
        <w:t>registrados</w:t>
      </w:r>
      <w:r>
        <w:rPr>
          <w:spacing w:val="-2"/>
        </w:rPr>
        <w:t> </w:t>
      </w:r>
      <w:r>
        <w:rPr/>
        <w:t>no Quadro- Mod.10 e no SIM, entendeu-se pela inconsistência dos valores demonstrados, porquanto a informação incorreta no SIM causou óbices à fiscalização, ao controle social e à transparência. A Primeira Câmara do Tribunal de Contas do Estado do Ceará,</w:t>
      </w:r>
      <w:r>
        <w:rPr>
          <w:spacing w:val="-2"/>
        </w:rPr>
        <w:t> </w:t>
      </w:r>
      <w:r>
        <w:rPr/>
        <w:t>por unanimidade de votos,</w:t>
      </w:r>
      <w:r>
        <w:rPr>
          <w:spacing w:val="-2"/>
        </w:rPr>
        <w:t> </w:t>
      </w:r>
      <w:r>
        <w:rPr/>
        <w:t>julgou irregulares as contas,</w:t>
      </w:r>
      <w:r>
        <w:rPr>
          <w:spacing w:val="-3"/>
        </w:rPr>
        <w:t> </w:t>
      </w:r>
      <w:r>
        <w:rPr/>
        <w:t>fundamentado no</w:t>
      </w:r>
      <w:r>
        <w:rPr>
          <w:spacing w:val="-2"/>
        </w:rPr>
        <w:t> </w:t>
      </w:r>
      <w:r>
        <w:rPr/>
        <w:t>art. 15, III, da Lei nº 12.509/95,</w:t>
      </w:r>
      <w:r>
        <w:rPr>
          <w:spacing w:val="-2"/>
        </w:rPr>
        <w:t> </w:t>
      </w:r>
      <w:r>
        <w:rPr/>
        <w:t>com aplicação de multa à responsável.</w:t>
      </w:r>
    </w:p>
    <w:p>
      <w:pPr>
        <w:pStyle w:val="BodyText"/>
        <w:spacing w:before="24"/>
      </w:pPr>
    </w:p>
    <w:p>
      <w:pPr>
        <w:tabs>
          <w:tab w:pos="5665" w:val="left" w:leader="none"/>
        </w:tabs>
        <w:spacing w:before="0"/>
        <w:ind w:left="14" w:right="0" w:firstLine="0"/>
        <w:jc w:val="both"/>
        <w:rPr>
          <w:sz w:val="18"/>
        </w:rPr>
      </w:pPr>
      <w:r>
        <w:rPr>
          <w:sz w:val="18"/>
        </w:rPr>
        <w:t>Processo</w:t>
      </w:r>
      <w:r>
        <w:rPr>
          <w:spacing w:val="-3"/>
          <w:sz w:val="18"/>
        </w:rPr>
        <w:t> </w:t>
      </w:r>
      <w:r>
        <w:rPr>
          <w:sz w:val="18"/>
        </w:rPr>
        <w:t>nº</w:t>
      </w:r>
      <w:r>
        <w:rPr>
          <w:spacing w:val="-1"/>
          <w:sz w:val="18"/>
        </w:rPr>
        <w:t> </w:t>
      </w:r>
      <w:r>
        <w:rPr>
          <w:sz w:val="18"/>
        </w:rPr>
        <w:t>14786/2021.</w:t>
      </w:r>
      <w:r>
        <w:rPr>
          <w:spacing w:val="48"/>
          <w:sz w:val="18"/>
        </w:rPr>
        <w:t>  </w:t>
      </w:r>
      <w:r>
        <w:rPr>
          <w:sz w:val="18"/>
        </w:rPr>
        <w:t>Relator:</w:t>
      </w:r>
      <w:r>
        <w:rPr>
          <w:spacing w:val="-1"/>
          <w:sz w:val="18"/>
        </w:rPr>
        <w:t> </w:t>
      </w:r>
      <w:r>
        <w:rPr>
          <w:sz w:val="18"/>
        </w:rPr>
        <w:t>Cons.</w:t>
      </w:r>
      <w:r>
        <w:rPr>
          <w:spacing w:val="47"/>
          <w:sz w:val="18"/>
        </w:rPr>
        <w:t> </w:t>
      </w:r>
      <w:r>
        <w:rPr>
          <w:sz w:val="18"/>
        </w:rPr>
        <w:t>Ernesto</w:t>
      </w:r>
      <w:r>
        <w:rPr>
          <w:spacing w:val="2"/>
          <w:sz w:val="18"/>
        </w:rPr>
        <w:t> </w:t>
      </w:r>
      <w:r>
        <w:rPr>
          <w:spacing w:val="-2"/>
          <w:sz w:val="18"/>
        </w:rPr>
        <w:t>Saboia.</w:t>
      </w:r>
      <w:r>
        <w:rPr>
          <w:sz w:val="18"/>
        </w:rPr>
        <w:tab/>
        <w:t>Ata</w:t>
      </w:r>
      <w:r>
        <w:rPr>
          <w:spacing w:val="1"/>
          <w:sz w:val="18"/>
        </w:rPr>
        <w:t> </w:t>
      </w:r>
      <w:r>
        <w:rPr>
          <w:sz w:val="18"/>
        </w:rPr>
        <w:t>n.°</w:t>
      </w:r>
      <w:r>
        <w:rPr>
          <w:spacing w:val="1"/>
          <w:sz w:val="18"/>
        </w:rPr>
        <w:t> </w:t>
      </w:r>
      <w:r>
        <w:rPr>
          <w:sz w:val="18"/>
        </w:rPr>
        <w:t>180.</w:t>
      </w:r>
      <w:r>
        <w:rPr>
          <w:spacing w:val="73"/>
          <w:sz w:val="18"/>
        </w:rPr>
        <w:t>    </w:t>
      </w:r>
      <w:r>
        <w:rPr>
          <w:sz w:val="18"/>
        </w:rPr>
        <w:t>Sessão de</w:t>
      </w:r>
      <w:r>
        <w:rPr>
          <w:spacing w:val="2"/>
          <w:sz w:val="18"/>
        </w:rPr>
        <w:t> </w:t>
      </w:r>
      <w:r>
        <w:rPr>
          <w:sz w:val="18"/>
        </w:rPr>
        <w:t>30/10/2023.</w:t>
      </w:r>
      <w:r>
        <w:rPr>
          <w:spacing w:val="74"/>
          <w:sz w:val="18"/>
        </w:rPr>
        <w:t>    </w:t>
      </w:r>
      <w:r>
        <w:rPr>
          <w:sz w:val="18"/>
        </w:rPr>
        <w:t>DO</w:t>
      </w:r>
      <w:r>
        <w:rPr>
          <w:spacing w:val="-2"/>
          <w:sz w:val="18"/>
        </w:rPr>
        <w:t> 23/11/2023.</w:t>
      </w:r>
    </w:p>
    <w:p>
      <w:pPr>
        <w:pStyle w:val="BodyText"/>
      </w:pPr>
    </w:p>
    <w:p>
      <w:pPr>
        <w:pStyle w:val="BodyText"/>
      </w:pPr>
    </w:p>
    <w:p>
      <w:pPr>
        <w:pStyle w:val="BodyText"/>
        <w:spacing w:before="78"/>
      </w:pPr>
      <w:r>
        <w:rPr/>
        <mc:AlternateContent>
          <mc:Choice Requires="wps">
            <w:drawing>
              <wp:anchor distT="0" distB="0" distL="0" distR="0" allowOverlap="1" layoutInCell="1" locked="0" behindDoc="1" simplePos="0" relativeHeight="487591936">
                <wp:simplePos x="0" y="0"/>
                <wp:positionH relativeFrom="page">
                  <wp:posOffset>365760</wp:posOffset>
                </wp:positionH>
                <wp:positionV relativeFrom="paragraph">
                  <wp:posOffset>211214</wp:posOffset>
                </wp:positionV>
                <wp:extent cx="6824980" cy="437515"/>
                <wp:effectExtent l="0" t="0" r="0" b="0"/>
                <wp:wrapTopAndBottom/>
                <wp:docPr id="25" name="Group 25"/>
                <wp:cNvGraphicFramePr>
                  <a:graphicFrameLocks/>
                </wp:cNvGraphicFramePr>
                <a:graphic>
                  <a:graphicData uri="http://schemas.microsoft.com/office/word/2010/wordprocessingGroup">
                    <wpg:wgp>
                      <wpg:cNvPr id="25" name="Group 25"/>
                      <wpg:cNvGrpSpPr/>
                      <wpg:grpSpPr>
                        <a:xfrm>
                          <a:off x="0" y="0"/>
                          <a:ext cx="6824980" cy="437515"/>
                          <a:chExt cx="6824980" cy="437515"/>
                        </a:xfrm>
                      </wpg:grpSpPr>
                      <pic:pic>
                        <pic:nvPicPr>
                          <pic:cNvPr id="26" name="Image 26"/>
                          <pic:cNvPicPr/>
                        </pic:nvPicPr>
                        <pic:blipFill>
                          <a:blip r:embed="rId10" cstate="print"/>
                          <a:stretch>
                            <a:fillRect/>
                          </a:stretch>
                        </pic:blipFill>
                        <pic:spPr>
                          <a:xfrm>
                            <a:off x="0" y="0"/>
                            <a:ext cx="6824471" cy="437387"/>
                          </a:xfrm>
                          <a:prstGeom prst="rect">
                            <a:avLst/>
                          </a:prstGeom>
                        </pic:spPr>
                      </pic:pic>
                      <wps:wsp>
                        <wps:cNvPr id="27" name="Textbox 27"/>
                        <wps:cNvSpPr txBox="1"/>
                        <wps:spPr>
                          <a:xfrm>
                            <a:off x="0" y="0"/>
                            <a:ext cx="6824980" cy="437515"/>
                          </a:xfrm>
                          <a:prstGeom prst="rect">
                            <a:avLst/>
                          </a:prstGeom>
                        </wps:spPr>
                        <wps:txbx>
                          <w:txbxContent>
                            <w:p>
                              <w:pPr>
                                <w:spacing w:before="221"/>
                                <w:ind w:left="2" w:right="0" w:firstLine="0"/>
                                <w:jc w:val="center"/>
                                <w:rPr>
                                  <w:rFonts w:ascii="Arial" w:hAnsi="Arial"/>
                                  <w:b/>
                                  <w:sz w:val="22"/>
                                </w:rPr>
                              </w:pPr>
                              <w:r>
                                <w:rPr>
                                  <w:rFonts w:ascii="Arial" w:hAnsi="Arial"/>
                                  <w:b/>
                                  <w:color w:val="FFFFFF"/>
                                  <w:sz w:val="22"/>
                                </w:rPr>
                                <w:t>ACÓRDÃO</w:t>
                              </w:r>
                              <w:r>
                                <w:rPr>
                                  <w:rFonts w:ascii="Arial" w:hAnsi="Arial"/>
                                  <w:b/>
                                  <w:color w:val="FFFFFF"/>
                                  <w:spacing w:val="-4"/>
                                  <w:sz w:val="22"/>
                                </w:rPr>
                                <w:t> </w:t>
                              </w:r>
                              <w:r>
                                <w:rPr>
                                  <w:rFonts w:ascii="Arial" w:hAnsi="Arial"/>
                                  <w:b/>
                                  <w:color w:val="FFFFFF"/>
                                  <w:sz w:val="22"/>
                                </w:rPr>
                                <w:t>N°</w:t>
                              </w:r>
                              <w:r>
                                <w:rPr>
                                  <w:rFonts w:ascii="Arial" w:hAnsi="Arial"/>
                                  <w:b/>
                                  <w:color w:val="FFFFFF"/>
                                  <w:spacing w:val="-4"/>
                                  <w:sz w:val="22"/>
                                </w:rPr>
                                <w:t> </w:t>
                              </w:r>
                              <w:r>
                                <w:rPr>
                                  <w:rFonts w:ascii="Arial" w:hAnsi="Arial"/>
                                  <w:b/>
                                  <w:color w:val="FFFFFF"/>
                                  <w:spacing w:val="-2"/>
                                  <w:sz w:val="22"/>
                                </w:rPr>
                                <w:t>3380/2023</w:t>
                              </w:r>
                            </w:p>
                          </w:txbxContent>
                        </wps:txbx>
                        <wps:bodyPr wrap="square" lIns="0" tIns="0" rIns="0" bIns="0" rtlCol="0">
                          <a:noAutofit/>
                        </wps:bodyPr>
                      </wps:wsp>
                    </wpg:wgp>
                  </a:graphicData>
                </a:graphic>
              </wp:anchor>
            </w:drawing>
          </mc:Choice>
          <mc:Fallback>
            <w:pict>
              <v:group style="position:absolute;margin-left:28.800001pt;margin-top:16.631027pt;width:537.4pt;height:34.450pt;mso-position-horizontal-relative:page;mso-position-vertical-relative:paragraph;z-index:-15724544;mso-wrap-distance-left:0;mso-wrap-distance-right:0" id="docshapegroup23" coordorigin="576,333" coordsize="10748,689">
                <v:shape style="position:absolute;left:576;top:332;width:10748;height:689" type="#_x0000_t75" id="docshape24" stroked="false">
                  <v:imagedata r:id="rId10" o:title=""/>
                </v:shape>
                <v:shape style="position:absolute;left:576;top:332;width:10748;height:689" type="#_x0000_t202" id="docshape25" filled="false" stroked="false">
                  <v:textbox inset="0,0,0,0">
                    <w:txbxContent>
                      <w:p>
                        <w:pPr>
                          <w:spacing w:before="221"/>
                          <w:ind w:left="2" w:right="0" w:firstLine="0"/>
                          <w:jc w:val="center"/>
                          <w:rPr>
                            <w:rFonts w:ascii="Arial" w:hAnsi="Arial"/>
                            <w:b/>
                            <w:sz w:val="22"/>
                          </w:rPr>
                        </w:pPr>
                        <w:r>
                          <w:rPr>
                            <w:rFonts w:ascii="Arial" w:hAnsi="Arial"/>
                            <w:b/>
                            <w:color w:val="FFFFFF"/>
                            <w:sz w:val="22"/>
                          </w:rPr>
                          <w:t>ACÓRDÃO</w:t>
                        </w:r>
                        <w:r>
                          <w:rPr>
                            <w:rFonts w:ascii="Arial" w:hAnsi="Arial"/>
                            <w:b/>
                            <w:color w:val="FFFFFF"/>
                            <w:spacing w:val="-4"/>
                            <w:sz w:val="22"/>
                          </w:rPr>
                          <w:t> </w:t>
                        </w:r>
                        <w:r>
                          <w:rPr>
                            <w:rFonts w:ascii="Arial" w:hAnsi="Arial"/>
                            <w:b/>
                            <w:color w:val="FFFFFF"/>
                            <w:sz w:val="22"/>
                          </w:rPr>
                          <w:t>N°</w:t>
                        </w:r>
                        <w:r>
                          <w:rPr>
                            <w:rFonts w:ascii="Arial" w:hAnsi="Arial"/>
                            <w:b/>
                            <w:color w:val="FFFFFF"/>
                            <w:spacing w:val="-4"/>
                            <w:sz w:val="22"/>
                          </w:rPr>
                          <w:t> </w:t>
                        </w:r>
                        <w:r>
                          <w:rPr>
                            <w:rFonts w:ascii="Arial" w:hAnsi="Arial"/>
                            <w:b/>
                            <w:color w:val="FFFFFF"/>
                            <w:spacing w:val="-2"/>
                            <w:sz w:val="22"/>
                          </w:rPr>
                          <w:t>3380/2023</w:t>
                        </w:r>
                      </w:p>
                    </w:txbxContent>
                  </v:textbox>
                  <w10:wrap type="none"/>
                </v:shape>
                <w10:wrap type="topAndBottom"/>
              </v:group>
            </w:pict>
          </mc:Fallback>
        </mc:AlternateContent>
      </w:r>
    </w:p>
    <w:p>
      <w:pPr>
        <w:pStyle w:val="Heading1"/>
        <w:spacing w:before="228"/>
        <w:ind w:right="306"/>
      </w:pPr>
      <w:r>
        <w:rPr/>
        <w:t>TOMADA DE CONTAS ESPECIAL. CONVÊNIO. AUSÊNCIA DE NEXO CAUSAL ENTRE AS DESPESAS E O OBJETO DO CONVÊNIO. DÉBITO SOLIDÁRIO</w:t>
      </w:r>
    </w:p>
    <w:p>
      <w:pPr>
        <w:pStyle w:val="BodyText"/>
        <w:spacing w:before="129"/>
        <w:rPr>
          <w:rFonts w:ascii="Arial"/>
          <w:b/>
          <w:sz w:val="24"/>
        </w:rPr>
      </w:pPr>
    </w:p>
    <w:p>
      <w:pPr>
        <w:pStyle w:val="BodyText"/>
        <w:ind w:left="14" w:right="309"/>
        <w:jc w:val="both"/>
      </w:pPr>
      <w:r>
        <w:rPr/>
        <w:t>Tomada de Contas Especial, para apurar supostas irregularidades na prestação de contas dos recursos transferidos à Associação Cearense de Desportos (ADC) em razão do Convênio nº 060/2012, cujo objeto era a concessão de auxílio financeiro para apoiar o desenvolvimento profissional do basquete cearense.</w:t>
      </w:r>
    </w:p>
    <w:p>
      <w:pPr>
        <w:pStyle w:val="BodyText"/>
        <w:spacing w:after="0"/>
        <w:jc w:val="both"/>
        <w:sectPr>
          <w:pgSz w:w="11910" w:h="16840"/>
          <w:pgMar w:header="0" w:footer="921" w:top="1480" w:bottom="1120" w:left="566" w:right="283"/>
        </w:sectPr>
      </w:pPr>
    </w:p>
    <w:p>
      <w:pPr>
        <w:pStyle w:val="BodyText"/>
        <w:spacing w:before="81"/>
        <w:ind w:left="14" w:right="299"/>
        <w:jc w:val="both"/>
      </w:pPr>
      <w:r>
        <w:rPr/>
        <w:drawing>
          <wp:anchor distT="0" distB="0" distL="0" distR="0" allowOverlap="1" layoutInCell="1" locked="0" behindDoc="0" simplePos="0" relativeHeight="15733760">
            <wp:simplePos x="0" y="0"/>
            <wp:positionH relativeFrom="page">
              <wp:posOffset>21335</wp:posOffset>
            </wp:positionH>
            <wp:positionV relativeFrom="page">
              <wp:posOffset>10043159</wp:posOffset>
            </wp:positionV>
            <wp:extent cx="7537703" cy="647700"/>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12" cstate="print"/>
                    <a:stretch>
                      <a:fillRect/>
                    </a:stretch>
                  </pic:blipFill>
                  <pic:spPr>
                    <a:xfrm>
                      <a:off x="0" y="0"/>
                      <a:ext cx="7537703" cy="647700"/>
                    </a:xfrm>
                    <a:prstGeom prst="rect">
                      <a:avLst/>
                    </a:prstGeom>
                  </pic:spPr>
                </pic:pic>
              </a:graphicData>
            </a:graphic>
          </wp:anchor>
        </w:drawing>
      </w:r>
      <w:r>
        <w:rPr/>
        <w:t>Verificou-se a ausência de comprovação da prestação dos serviços descritos nas notas fiscais (nexo causal entre as despesas realizadas e o objeto previsto no Plano de Trabalho). Como preceitua o art. 16 da IN nº 01/2005 que regulava o referido acordo à época, os recursos só devem ser destinados para o pagamento das despesas previstas no plano de trabalho, assim como, segundo a Cláusula Quinta, II, item 1, do Termo do Convênio, é obrigação do convenente comprovar a aplicação dos recursos financeiros em conformidade com o objeto do convênio. Além da ausência de documentos probantes do nexo causal, verificou-se a falta de detalhamento do plano de trabalho e da contraprestação, que</w:t>
      </w:r>
      <w:r>
        <w:rPr>
          <w:spacing w:val="-2"/>
        </w:rPr>
        <w:t> </w:t>
      </w:r>
      <w:r>
        <w:rPr/>
        <w:t>deveria ser prestada pela Associação Cearense de Desportos. A Segunda Câmara</w:t>
      </w:r>
      <w:r>
        <w:rPr>
          <w:spacing w:val="-2"/>
        </w:rPr>
        <w:t> </w:t>
      </w:r>
      <w:r>
        <w:rPr/>
        <w:t>Virtual do Tribunal de</w:t>
      </w:r>
      <w:r>
        <w:rPr>
          <w:spacing w:val="-2"/>
        </w:rPr>
        <w:t> </w:t>
      </w:r>
      <w:r>
        <w:rPr/>
        <w:t>Contas do Estado</w:t>
      </w:r>
      <w:r>
        <w:rPr>
          <w:spacing w:val="-7"/>
        </w:rPr>
        <w:t> </w:t>
      </w:r>
      <w:r>
        <w:rPr/>
        <w:t>do</w:t>
      </w:r>
      <w:r>
        <w:rPr>
          <w:spacing w:val="-6"/>
        </w:rPr>
        <w:t> </w:t>
      </w:r>
      <w:r>
        <w:rPr/>
        <w:t>Ceará,</w:t>
      </w:r>
      <w:r>
        <w:rPr>
          <w:spacing w:val="-6"/>
        </w:rPr>
        <w:t> </w:t>
      </w:r>
      <w:r>
        <w:rPr/>
        <w:t>por</w:t>
      </w:r>
      <w:r>
        <w:rPr>
          <w:spacing w:val="-6"/>
        </w:rPr>
        <w:t> </w:t>
      </w:r>
      <w:r>
        <w:rPr/>
        <w:t>unanimidade</w:t>
      </w:r>
      <w:r>
        <w:rPr>
          <w:spacing w:val="-7"/>
        </w:rPr>
        <w:t> </w:t>
      </w:r>
      <w:r>
        <w:rPr/>
        <w:t>dos</w:t>
      </w:r>
      <w:r>
        <w:rPr>
          <w:spacing w:val="-5"/>
        </w:rPr>
        <w:t> </w:t>
      </w:r>
      <w:r>
        <w:rPr/>
        <w:t>votos,</w:t>
      </w:r>
      <w:r>
        <w:rPr>
          <w:spacing w:val="-6"/>
        </w:rPr>
        <w:t> </w:t>
      </w:r>
      <w:r>
        <w:rPr/>
        <w:t>julgou</w:t>
      </w:r>
      <w:r>
        <w:rPr>
          <w:spacing w:val="-6"/>
        </w:rPr>
        <w:t> </w:t>
      </w:r>
      <w:r>
        <w:rPr/>
        <w:t>as</w:t>
      </w:r>
      <w:r>
        <w:rPr>
          <w:spacing w:val="-6"/>
        </w:rPr>
        <w:t> </w:t>
      </w:r>
      <w:r>
        <w:rPr/>
        <w:t>contas</w:t>
      </w:r>
      <w:r>
        <w:rPr>
          <w:spacing w:val="-4"/>
        </w:rPr>
        <w:t> </w:t>
      </w:r>
      <w:r>
        <w:rPr/>
        <w:t>irregulares</w:t>
      </w:r>
      <w:r>
        <w:rPr>
          <w:spacing w:val="-4"/>
        </w:rPr>
        <w:t> </w:t>
      </w:r>
      <w:r>
        <w:rPr/>
        <w:t>e</w:t>
      </w:r>
      <w:r>
        <w:rPr>
          <w:spacing w:val="-7"/>
        </w:rPr>
        <w:t> </w:t>
      </w:r>
      <w:r>
        <w:rPr/>
        <w:t>imputou</w:t>
      </w:r>
      <w:r>
        <w:rPr>
          <w:spacing w:val="-4"/>
        </w:rPr>
        <w:t> </w:t>
      </w:r>
      <w:r>
        <w:rPr/>
        <w:t>aos</w:t>
      </w:r>
      <w:r>
        <w:rPr>
          <w:spacing w:val="-5"/>
        </w:rPr>
        <w:t> </w:t>
      </w:r>
      <w:r>
        <w:rPr/>
        <w:t>responsáveis</w:t>
      </w:r>
      <w:r>
        <w:rPr>
          <w:spacing w:val="-6"/>
        </w:rPr>
        <w:t> </w:t>
      </w:r>
      <w:r>
        <w:rPr/>
        <w:t>o</w:t>
      </w:r>
      <w:r>
        <w:rPr>
          <w:spacing w:val="-5"/>
        </w:rPr>
        <w:t> </w:t>
      </w:r>
      <w:r>
        <w:rPr/>
        <w:t>débito</w:t>
      </w:r>
      <w:r>
        <w:rPr>
          <w:spacing w:val="-3"/>
        </w:rPr>
        <w:t> </w:t>
      </w:r>
      <w:r>
        <w:rPr>
          <w:spacing w:val="-2"/>
        </w:rPr>
        <w:t>solidário.</w:t>
      </w:r>
    </w:p>
    <w:p>
      <w:pPr>
        <w:spacing w:before="228"/>
        <w:ind w:left="14" w:right="0" w:firstLine="0"/>
        <w:jc w:val="both"/>
        <w:rPr>
          <w:sz w:val="18"/>
        </w:rPr>
      </w:pPr>
      <w:r>
        <w:rPr>
          <w:sz w:val="18"/>
        </w:rPr>
        <w:t>Processo</w:t>
      </w:r>
      <w:r>
        <w:rPr>
          <w:spacing w:val="-1"/>
          <w:sz w:val="18"/>
        </w:rPr>
        <w:t> </w:t>
      </w:r>
      <w:r>
        <w:rPr>
          <w:sz w:val="18"/>
        </w:rPr>
        <w:t>nº</w:t>
      </w:r>
      <w:r>
        <w:rPr>
          <w:spacing w:val="-1"/>
          <w:sz w:val="18"/>
        </w:rPr>
        <w:t> </w:t>
      </w:r>
      <w:r>
        <w:rPr>
          <w:sz w:val="18"/>
        </w:rPr>
        <w:t>06826/2015-0.</w:t>
      </w:r>
      <w:r>
        <w:rPr>
          <w:spacing w:val="74"/>
          <w:w w:val="150"/>
          <w:sz w:val="18"/>
        </w:rPr>
        <w:t>  </w:t>
      </w:r>
      <w:r>
        <w:rPr>
          <w:sz w:val="18"/>
        </w:rPr>
        <w:t>Relator:</w:t>
      </w:r>
      <w:r>
        <w:rPr>
          <w:spacing w:val="-1"/>
          <w:sz w:val="18"/>
        </w:rPr>
        <w:t> </w:t>
      </w:r>
      <w:r>
        <w:rPr>
          <w:sz w:val="18"/>
        </w:rPr>
        <w:t>Cons. Substituto</w:t>
      </w:r>
      <w:r>
        <w:rPr>
          <w:spacing w:val="-2"/>
          <w:sz w:val="18"/>
        </w:rPr>
        <w:t> </w:t>
      </w:r>
      <w:r>
        <w:rPr>
          <w:sz w:val="18"/>
        </w:rPr>
        <w:t>Itacir</w:t>
      </w:r>
      <w:r>
        <w:rPr>
          <w:spacing w:val="-1"/>
          <w:sz w:val="18"/>
        </w:rPr>
        <w:t> </w:t>
      </w:r>
      <w:r>
        <w:rPr>
          <w:sz w:val="18"/>
        </w:rPr>
        <w:t>Todero.</w:t>
      </w:r>
      <w:r>
        <w:rPr>
          <w:spacing w:val="74"/>
          <w:w w:val="150"/>
          <w:sz w:val="18"/>
        </w:rPr>
        <w:t>  </w:t>
      </w:r>
      <w:r>
        <w:rPr>
          <w:sz w:val="18"/>
        </w:rPr>
        <w:t>Ata</w:t>
      </w:r>
      <w:r>
        <w:rPr>
          <w:spacing w:val="2"/>
          <w:sz w:val="18"/>
        </w:rPr>
        <w:t> </w:t>
      </w:r>
      <w:r>
        <w:rPr>
          <w:sz w:val="18"/>
        </w:rPr>
        <w:t>n.°</w:t>
      </w:r>
      <w:r>
        <w:rPr>
          <w:spacing w:val="1"/>
          <w:sz w:val="18"/>
        </w:rPr>
        <w:t> </w:t>
      </w:r>
      <w:r>
        <w:rPr>
          <w:sz w:val="18"/>
        </w:rPr>
        <w:t>180.</w:t>
      </w:r>
      <w:r>
        <w:rPr>
          <w:spacing w:val="73"/>
          <w:w w:val="150"/>
          <w:sz w:val="18"/>
        </w:rPr>
        <w:t>  </w:t>
      </w:r>
      <w:r>
        <w:rPr>
          <w:sz w:val="18"/>
        </w:rPr>
        <w:t>Sessão</w:t>
      </w:r>
      <w:r>
        <w:rPr>
          <w:spacing w:val="-1"/>
          <w:sz w:val="18"/>
        </w:rPr>
        <w:t> </w:t>
      </w:r>
      <w:r>
        <w:rPr>
          <w:sz w:val="18"/>
        </w:rPr>
        <w:t>de:</w:t>
      </w:r>
      <w:r>
        <w:rPr>
          <w:spacing w:val="-2"/>
          <w:sz w:val="18"/>
        </w:rPr>
        <w:t> </w:t>
      </w:r>
      <w:r>
        <w:rPr>
          <w:sz w:val="18"/>
        </w:rPr>
        <w:t>06/11/2023.</w:t>
      </w:r>
      <w:r>
        <w:rPr>
          <w:spacing w:val="57"/>
          <w:w w:val="150"/>
          <w:sz w:val="18"/>
        </w:rPr>
        <w:t>   </w:t>
      </w:r>
      <w:r>
        <w:rPr>
          <w:sz w:val="18"/>
        </w:rPr>
        <w:t>DO </w:t>
      </w:r>
      <w:r>
        <w:rPr>
          <w:spacing w:val="-2"/>
          <w:sz w:val="18"/>
        </w:rPr>
        <w:t>27/11/2023.</w:t>
      </w:r>
    </w:p>
    <w:p>
      <w:pPr>
        <w:pStyle w:val="BodyText"/>
      </w:pPr>
    </w:p>
    <w:p>
      <w:pPr>
        <w:pStyle w:val="BodyText"/>
        <w:spacing w:before="97"/>
      </w:pPr>
      <w:r>
        <w:rPr/>
        <mc:AlternateContent>
          <mc:Choice Requires="wps">
            <w:drawing>
              <wp:anchor distT="0" distB="0" distL="0" distR="0" allowOverlap="1" layoutInCell="1" locked="0" behindDoc="1" simplePos="0" relativeHeight="487592448">
                <wp:simplePos x="0" y="0"/>
                <wp:positionH relativeFrom="page">
                  <wp:posOffset>365760</wp:posOffset>
                </wp:positionH>
                <wp:positionV relativeFrom="paragraph">
                  <wp:posOffset>223388</wp:posOffset>
                </wp:positionV>
                <wp:extent cx="6824980" cy="349250"/>
                <wp:effectExtent l="0" t="0" r="0" b="0"/>
                <wp:wrapTopAndBottom/>
                <wp:docPr id="29" name="Group 29"/>
                <wp:cNvGraphicFramePr>
                  <a:graphicFrameLocks/>
                </wp:cNvGraphicFramePr>
                <a:graphic>
                  <a:graphicData uri="http://schemas.microsoft.com/office/word/2010/wordprocessingGroup">
                    <wpg:wgp>
                      <wpg:cNvPr id="29" name="Group 29"/>
                      <wpg:cNvGrpSpPr/>
                      <wpg:grpSpPr>
                        <a:xfrm>
                          <a:off x="0" y="0"/>
                          <a:ext cx="6824980" cy="349250"/>
                          <a:chExt cx="6824980" cy="349250"/>
                        </a:xfrm>
                      </wpg:grpSpPr>
                      <pic:pic>
                        <pic:nvPicPr>
                          <pic:cNvPr id="30" name="Image 30"/>
                          <pic:cNvPicPr/>
                        </pic:nvPicPr>
                        <pic:blipFill>
                          <a:blip r:embed="rId10" cstate="print"/>
                          <a:stretch>
                            <a:fillRect/>
                          </a:stretch>
                        </pic:blipFill>
                        <pic:spPr>
                          <a:xfrm>
                            <a:off x="0" y="0"/>
                            <a:ext cx="6824471" cy="348995"/>
                          </a:xfrm>
                          <a:prstGeom prst="rect">
                            <a:avLst/>
                          </a:prstGeom>
                        </pic:spPr>
                      </pic:pic>
                      <wps:wsp>
                        <wps:cNvPr id="31" name="Textbox 31"/>
                        <wps:cNvSpPr txBox="1"/>
                        <wps:spPr>
                          <a:xfrm>
                            <a:off x="0" y="0"/>
                            <a:ext cx="6824980" cy="349250"/>
                          </a:xfrm>
                          <a:prstGeom prst="rect">
                            <a:avLst/>
                          </a:prstGeom>
                        </wps:spPr>
                        <wps:txbx>
                          <w:txbxContent>
                            <w:p>
                              <w:pPr>
                                <w:spacing w:before="168"/>
                                <w:ind w:left="2" w:right="0" w:firstLine="0"/>
                                <w:jc w:val="center"/>
                                <w:rPr>
                                  <w:rFonts w:ascii="Arial" w:hAnsi="Arial"/>
                                  <w:b/>
                                  <w:sz w:val="22"/>
                                </w:rPr>
                              </w:pPr>
                              <w:r>
                                <w:rPr>
                                  <w:rFonts w:ascii="Arial" w:hAnsi="Arial"/>
                                  <w:b/>
                                  <w:color w:val="FFFFFF"/>
                                  <w:sz w:val="22"/>
                                </w:rPr>
                                <w:t>ACÓRDÃO</w:t>
                              </w:r>
                              <w:r>
                                <w:rPr>
                                  <w:rFonts w:ascii="Arial" w:hAnsi="Arial"/>
                                  <w:b/>
                                  <w:color w:val="FFFFFF"/>
                                  <w:spacing w:val="-6"/>
                                  <w:sz w:val="22"/>
                                </w:rPr>
                                <w:t> </w:t>
                              </w:r>
                              <w:r>
                                <w:rPr>
                                  <w:rFonts w:ascii="Arial" w:hAnsi="Arial"/>
                                  <w:b/>
                                  <w:color w:val="FFFFFF"/>
                                  <w:sz w:val="22"/>
                                </w:rPr>
                                <w:t>Nº</w:t>
                              </w:r>
                              <w:r>
                                <w:rPr>
                                  <w:rFonts w:ascii="Arial" w:hAnsi="Arial"/>
                                  <w:b/>
                                  <w:color w:val="FFFFFF"/>
                                  <w:spacing w:val="-2"/>
                                  <w:sz w:val="22"/>
                                </w:rPr>
                                <w:t> 3406/2023</w:t>
                              </w:r>
                            </w:p>
                          </w:txbxContent>
                        </wps:txbx>
                        <wps:bodyPr wrap="square" lIns="0" tIns="0" rIns="0" bIns="0" rtlCol="0">
                          <a:noAutofit/>
                        </wps:bodyPr>
                      </wps:wsp>
                    </wpg:wgp>
                  </a:graphicData>
                </a:graphic>
              </wp:anchor>
            </w:drawing>
          </mc:Choice>
          <mc:Fallback>
            <w:pict>
              <v:group style="position:absolute;margin-left:28.800001pt;margin-top:17.589619pt;width:537.4pt;height:27.5pt;mso-position-horizontal-relative:page;mso-position-vertical-relative:paragraph;z-index:-15724032;mso-wrap-distance-left:0;mso-wrap-distance-right:0" id="docshapegroup26" coordorigin="576,352" coordsize="10748,550">
                <v:shape style="position:absolute;left:576;top:351;width:10748;height:550" type="#_x0000_t75" id="docshape27" stroked="false">
                  <v:imagedata r:id="rId10" o:title=""/>
                </v:shape>
                <v:shape style="position:absolute;left:576;top:351;width:10748;height:550" type="#_x0000_t202" id="docshape28" filled="false" stroked="false">
                  <v:textbox inset="0,0,0,0">
                    <w:txbxContent>
                      <w:p>
                        <w:pPr>
                          <w:spacing w:before="168"/>
                          <w:ind w:left="2" w:right="0" w:firstLine="0"/>
                          <w:jc w:val="center"/>
                          <w:rPr>
                            <w:rFonts w:ascii="Arial" w:hAnsi="Arial"/>
                            <w:b/>
                            <w:sz w:val="22"/>
                          </w:rPr>
                        </w:pPr>
                        <w:r>
                          <w:rPr>
                            <w:rFonts w:ascii="Arial" w:hAnsi="Arial"/>
                            <w:b/>
                            <w:color w:val="FFFFFF"/>
                            <w:sz w:val="22"/>
                          </w:rPr>
                          <w:t>ACÓRDÃO</w:t>
                        </w:r>
                        <w:r>
                          <w:rPr>
                            <w:rFonts w:ascii="Arial" w:hAnsi="Arial"/>
                            <w:b/>
                            <w:color w:val="FFFFFF"/>
                            <w:spacing w:val="-6"/>
                            <w:sz w:val="22"/>
                          </w:rPr>
                          <w:t> </w:t>
                        </w:r>
                        <w:r>
                          <w:rPr>
                            <w:rFonts w:ascii="Arial" w:hAnsi="Arial"/>
                            <w:b/>
                            <w:color w:val="FFFFFF"/>
                            <w:sz w:val="22"/>
                          </w:rPr>
                          <w:t>Nº</w:t>
                        </w:r>
                        <w:r>
                          <w:rPr>
                            <w:rFonts w:ascii="Arial" w:hAnsi="Arial"/>
                            <w:b/>
                            <w:color w:val="FFFFFF"/>
                            <w:spacing w:val="-2"/>
                            <w:sz w:val="22"/>
                          </w:rPr>
                          <w:t> 3406/2023</w:t>
                        </w:r>
                      </w:p>
                    </w:txbxContent>
                  </v:textbox>
                  <w10:wrap type="none"/>
                </v:shape>
                <w10:wrap type="topAndBottom"/>
              </v:group>
            </w:pict>
          </mc:Fallback>
        </mc:AlternateContent>
      </w:r>
    </w:p>
    <w:p>
      <w:pPr>
        <w:pStyle w:val="BodyText"/>
        <w:spacing w:before="242"/>
        <w:rPr>
          <w:sz w:val="24"/>
        </w:rPr>
      </w:pPr>
    </w:p>
    <w:p>
      <w:pPr>
        <w:pStyle w:val="Heading1"/>
        <w:spacing w:before="1"/>
        <w:ind w:right="303"/>
      </w:pPr>
      <w:r>
        <w:rPr/>
        <w:t>EMBARGOS DE DECLARAÇÃO. OMISSÃO NA DOCUMENTAÇÃO. EFEITOS INFRINGENTES. IRREGULARIDADE SANADA.</w:t>
      </w:r>
    </w:p>
    <w:p>
      <w:pPr>
        <w:pStyle w:val="BodyText"/>
        <w:spacing w:before="232"/>
        <w:ind w:left="14" w:right="301"/>
        <w:jc w:val="both"/>
      </w:pPr>
      <w:r>
        <w:rPr/>
        <w:t>Embargos de Declaração em Prestação de Contas de Governo da Prefeitura Municipal de Groaíras. Na fase recursal, restou comprovada a omissão na análise de prova já existente à época da instrução processual, ou seja, documentação remetida capaz de sanar a irregularidade apontada. O Pleno Virtual do Tribunal de Contas do Estado do Ceará, por maioria, mediante voto de desempate do Presidente, deu provimento total aos embargos de declaração, com efeitos infringentes, suprindo a omissão verificada para sanar a irregularidade e, por consequência, modificou o Parecer Prévio nº 93/2019, aprovando com ressalva as contas de governo em análise.</w:t>
      </w:r>
    </w:p>
    <w:p>
      <w:pPr>
        <w:tabs>
          <w:tab w:pos="9340" w:val="left" w:leader="none"/>
        </w:tabs>
        <w:spacing w:before="230"/>
        <w:ind w:left="14" w:right="0" w:firstLine="0"/>
        <w:jc w:val="both"/>
        <w:rPr>
          <w:sz w:val="18"/>
        </w:rPr>
      </w:pPr>
      <w:r>
        <w:rPr>
          <w:sz w:val="18"/>
        </w:rPr>
        <w:t>Processo</w:t>
      </w:r>
      <w:r>
        <w:rPr>
          <w:spacing w:val="-1"/>
          <w:sz w:val="18"/>
        </w:rPr>
        <w:t> </w:t>
      </w:r>
      <w:r>
        <w:rPr>
          <w:sz w:val="18"/>
        </w:rPr>
        <w:t>nº.</w:t>
      </w:r>
      <w:r>
        <w:rPr>
          <w:spacing w:val="-5"/>
          <w:sz w:val="18"/>
        </w:rPr>
        <w:t> </w:t>
      </w:r>
      <w:r>
        <w:rPr>
          <w:sz w:val="18"/>
        </w:rPr>
        <w:t>26028/2019-1.</w:t>
      </w:r>
      <w:r>
        <w:rPr>
          <w:spacing w:val="74"/>
          <w:w w:val="150"/>
          <w:sz w:val="18"/>
        </w:rPr>
        <w:t> </w:t>
      </w:r>
      <w:r>
        <w:rPr>
          <w:sz w:val="18"/>
        </w:rPr>
        <w:t>Relator:</w:t>
      </w:r>
      <w:r>
        <w:rPr>
          <w:spacing w:val="-3"/>
          <w:sz w:val="18"/>
        </w:rPr>
        <w:t> </w:t>
      </w:r>
      <w:r>
        <w:rPr>
          <w:sz w:val="18"/>
        </w:rPr>
        <w:t>Conselheiro Alexandre</w:t>
      </w:r>
      <w:r>
        <w:rPr>
          <w:spacing w:val="-4"/>
          <w:sz w:val="18"/>
        </w:rPr>
        <w:t> </w:t>
      </w:r>
      <w:r>
        <w:rPr>
          <w:sz w:val="18"/>
        </w:rPr>
        <w:t>Figueiredo</w:t>
      </w:r>
      <w:r>
        <w:rPr>
          <w:spacing w:val="2"/>
          <w:sz w:val="18"/>
        </w:rPr>
        <w:t> </w:t>
      </w:r>
      <w:r>
        <w:rPr>
          <w:sz w:val="18"/>
        </w:rPr>
        <w:t>Ata</w:t>
      </w:r>
      <w:r>
        <w:rPr>
          <w:spacing w:val="-3"/>
          <w:sz w:val="18"/>
        </w:rPr>
        <w:t> </w:t>
      </w:r>
      <w:r>
        <w:rPr>
          <w:sz w:val="18"/>
        </w:rPr>
        <w:t>n.°179</w:t>
      </w:r>
      <w:r>
        <w:rPr>
          <w:spacing w:val="51"/>
          <w:sz w:val="18"/>
        </w:rPr>
        <w:t> </w:t>
      </w:r>
      <w:r>
        <w:rPr>
          <w:sz w:val="18"/>
        </w:rPr>
        <w:t>.</w:t>
      </w:r>
      <w:r>
        <w:rPr>
          <w:spacing w:val="-2"/>
          <w:sz w:val="18"/>
        </w:rPr>
        <w:t> </w:t>
      </w:r>
      <w:r>
        <w:rPr>
          <w:sz w:val="18"/>
        </w:rPr>
        <w:t>Sessão</w:t>
      </w:r>
      <w:r>
        <w:rPr>
          <w:spacing w:val="-3"/>
          <w:sz w:val="18"/>
        </w:rPr>
        <w:t> </w:t>
      </w:r>
      <w:r>
        <w:rPr>
          <w:sz w:val="18"/>
        </w:rPr>
        <w:t>de:</w:t>
      </w:r>
      <w:r>
        <w:rPr>
          <w:spacing w:val="-2"/>
          <w:sz w:val="18"/>
        </w:rPr>
        <w:t> 23/10/2023</w:t>
      </w:r>
      <w:r>
        <w:rPr>
          <w:sz w:val="18"/>
        </w:rPr>
        <w:tab/>
      </w:r>
      <w:r>
        <w:rPr>
          <w:spacing w:val="-2"/>
          <w:sz w:val="18"/>
        </w:rPr>
        <w:t>DO:19/12/2023.</w:t>
      </w:r>
    </w:p>
    <w:sectPr>
      <w:footerReference w:type="default" r:id="rId11"/>
      <w:pgSz w:w="11910" w:h="16840"/>
      <w:pgMar w:header="0" w:footer="0" w:top="1340" w:bottom="0" w:left="566"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7492608">
          <wp:simplePos x="0" y="0"/>
          <wp:positionH relativeFrom="page">
            <wp:posOffset>0</wp:posOffset>
          </wp:positionH>
          <wp:positionV relativeFrom="page">
            <wp:posOffset>9979152</wp:posOffset>
          </wp:positionV>
          <wp:extent cx="7536180" cy="711707"/>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7536180" cy="711707"/>
                  </a:xfrm>
                  <a:prstGeom prst="rect">
                    <a:avLst/>
                  </a:prstGeom>
                </pic:spPr>
              </pic:pic>
            </a:graphicData>
          </a:graphic>
        </wp:anchor>
      </w:drawing>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pt-PT" w:eastAsia="en-US" w:bidi="ar-SA"/>
    </w:rPr>
  </w:style>
  <w:style w:styleId="BodyText" w:type="paragraph">
    <w:name w:val="Body Text"/>
    <w:basedOn w:val="Normal"/>
    <w:uiPriority w:val="1"/>
    <w:qFormat/>
    <w:pPr/>
    <w:rPr>
      <w:rFonts w:ascii="Arial MT" w:hAnsi="Arial MT" w:eastAsia="Arial MT" w:cs="Arial MT"/>
      <w:sz w:val="20"/>
      <w:szCs w:val="20"/>
      <w:lang w:val="pt-PT" w:eastAsia="en-US" w:bidi="ar-SA"/>
    </w:rPr>
  </w:style>
  <w:style w:styleId="Heading1" w:type="paragraph">
    <w:name w:val="Heading 1"/>
    <w:basedOn w:val="Normal"/>
    <w:uiPriority w:val="1"/>
    <w:qFormat/>
    <w:pPr>
      <w:ind w:left="14" w:right="300"/>
      <w:jc w:val="both"/>
      <w:outlineLvl w:val="1"/>
    </w:pPr>
    <w:rPr>
      <w:rFonts w:ascii="Arial" w:hAnsi="Arial" w:eastAsia="Arial" w:cs="Arial"/>
      <w:b/>
      <w:bCs/>
      <w:sz w:val="24"/>
      <w:szCs w:val="24"/>
      <w:lang w:val="pt-PT" w:eastAsia="en-US" w:bidi="ar-SA"/>
    </w:rPr>
  </w:style>
  <w:style w:styleId="Heading2" w:type="paragraph">
    <w:name w:val="Heading 2"/>
    <w:basedOn w:val="Normal"/>
    <w:uiPriority w:val="1"/>
    <w:qFormat/>
    <w:pPr>
      <w:ind w:left="14" w:right="303"/>
      <w:jc w:val="both"/>
      <w:outlineLvl w:val="2"/>
    </w:pPr>
    <w:rPr>
      <w:rFonts w:ascii="Arial" w:hAnsi="Arial" w:eastAsia="Arial" w:cs="Arial"/>
      <w:b/>
      <w:bCs/>
      <w:sz w:val="22"/>
      <w:szCs w:val="22"/>
      <w:lang w:val="pt-PT" w:eastAsia="en-US" w:bidi="ar-SA"/>
    </w:rPr>
  </w:style>
  <w:style w:styleId="ListParagraph" w:type="paragraph">
    <w:name w:val="List Paragraph"/>
    <w:basedOn w:val="Normal"/>
    <w:uiPriority w:val="1"/>
    <w:qFormat/>
    <w:pPr/>
    <w:rPr>
      <w:lang w:val="pt-PT" w:eastAsia="en-US" w:bidi="ar-SA"/>
    </w:rPr>
  </w:style>
  <w:style w:styleId="TableParagraph" w:type="paragraph">
    <w:name w:val="Table Paragraph"/>
    <w:basedOn w:val="Normal"/>
    <w:uiPriority w:val="1"/>
    <w:qFormat/>
    <w:pPr/>
    <w:rPr>
      <w:lang w:val="pt-P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footer" Target="footer2.xml"/><Relationship Id="rId12"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RENAN VASCONCELOS LIMA</dc:creator>
  <dc:title>informativo 12.odt</dc:title>
  <dcterms:created xsi:type="dcterms:W3CDTF">2025-10-06T13:51:24Z</dcterms:created>
  <dcterms:modified xsi:type="dcterms:W3CDTF">2025-10-06T13:51:24Z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2024-01-16T00:00:00Z</vt:filetime>
  </property>
  <property fmtid="{D5CDD505-2E9C-101B-9397-08002B2CF9AE}" pid="3" name="LastSaved">
    <vt:filetime>2025-10-06T00:00:00Z</vt:filetime>
  </property>
  <property fmtid="{D5CDD505-2E9C-101B-9397-08002B2CF9AE}" pid="4" name="Producer">
    <vt:lpwstr>Microsoft: Print To PDF</vt:lpwstr>
  </property>
</Properties>
</file>