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635</wp:posOffset>
                </wp:positionH>
                <wp:positionV relativeFrom="page">
                  <wp:posOffset>9</wp:posOffset>
                </wp:positionV>
                <wp:extent cx="7559040" cy="162496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624965"/>
                          <a:chExt cx="7559040" cy="1624965"/>
                        </a:xfrm>
                      </wpg:grpSpPr>
                      <pic:pic>
                        <pic:nvPicPr>
                          <pic:cNvPr id="3" name="Image 3"/>
                          <pic:cNvPicPr/>
                        </pic:nvPicPr>
                        <pic:blipFill>
                          <a:blip r:embed="rId6" cstate="print"/>
                          <a:stretch>
                            <a:fillRect/>
                          </a:stretch>
                        </pic:blipFill>
                        <pic:spPr>
                          <a:xfrm>
                            <a:off x="0" y="0"/>
                            <a:ext cx="7559040" cy="1609725"/>
                          </a:xfrm>
                          <a:prstGeom prst="rect">
                            <a:avLst/>
                          </a:prstGeom>
                        </pic:spPr>
                      </pic:pic>
                      <wps:wsp>
                        <wps:cNvPr id="4" name="Textbox 4"/>
                        <wps:cNvSpPr txBox="1"/>
                        <wps:spPr>
                          <a:xfrm>
                            <a:off x="4155567" y="1471327"/>
                            <a:ext cx="1797685" cy="153670"/>
                          </a:xfrm>
                          <a:prstGeom prst="rect">
                            <a:avLst/>
                          </a:prstGeom>
                        </wps:spPr>
                        <wps:txbx>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2024</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4"/>
                                  <w:sz w:val="18"/>
                                </w:rPr>
                                <w:t> </w:t>
                              </w:r>
                              <w:r>
                                <w:rPr>
                                  <w:rFonts w:ascii="Arial" w:hAnsi="Arial"/>
                                  <w:b/>
                                  <w:i/>
                                  <w:spacing w:val="-5"/>
                                  <w:sz w:val="18"/>
                                </w:rPr>
                                <w:t>12</w:t>
                              </w:r>
                            </w:p>
                          </w:txbxContent>
                        </wps:txbx>
                        <wps:bodyPr wrap="square" lIns="0" tIns="0" rIns="0" bIns="0" rtlCol="0">
                          <a:noAutofit/>
                        </wps:bodyPr>
                      </wps:wsp>
                    </wpg:wgp>
                  </a:graphicData>
                </a:graphic>
              </wp:anchor>
            </w:drawing>
          </mc:Choice>
          <mc:Fallback>
            <w:pict>
              <v:group style="position:absolute;margin-left:.05pt;margin-top:.000771pt;width:595.2pt;height:127.95pt;mso-position-horizontal-relative:page;mso-position-vertical-relative:page;z-index:15730176" id="docshapegroup1" coordorigin="1,0" coordsize="11904,2559">
                <v:shape style="position:absolute;left:1;top:0;width:11904;height:2535" type="#_x0000_t75" id="docshape2" stroked="false">
                  <v:imagedata r:id="rId6" o:title=""/>
                </v:shape>
                <v:shapetype id="_x0000_t202" o:spt="202" coordsize="21600,21600" path="m,l,21600r21600,l21600,xe">
                  <v:stroke joinstyle="miter"/>
                  <v:path gradientshapeok="t" o:connecttype="rect"/>
                </v:shapetype>
                <v:shape style="position:absolute;left:6545;top:2317;width:2831;height:242" type="#_x0000_t202" id="docshape3" filled="false" stroked="false">
                  <v:textbox inset="0,0,0,0">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2024</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4"/>
                            <w:sz w:val="18"/>
                          </w:rPr>
                          <w:t> </w:t>
                        </w:r>
                        <w:r>
                          <w:rPr>
                            <w:rFonts w:ascii="Arial" w:hAnsi="Arial"/>
                            <w:b/>
                            <w:i/>
                            <w:spacing w:val="-5"/>
                            <w:sz w:val="18"/>
                          </w:rPr>
                          <w:t>12</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7"/>
        <w:rPr>
          <w:rFonts w:ascii="Times New Roman"/>
        </w:rPr>
      </w:pPr>
    </w:p>
    <w:p>
      <w:pPr>
        <w:pStyle w:val="BodyText"/>
        <w:ind w:left="406"/>
        <w:rPr>
          <w:rFonts w:ascii="Times New Roman"/>
        </w:rPr>
      </w:pPr>
      <w:r>
        <w:rPr>
          <w:rFonts w:ascii="Times New Roman"/>
        </w:rPr>
        <mc:AlternateContent>
          <mc:Choice Requires="wps">
            <w:drawing>
              <wp:inline distT="0" distB="0" distL="0" distR="0">
                <wp:extent cx="6676390" cy="1742439"/>
                <wp:effectExtent l="0" t="0" r="0" b="635"/>
                <wp:docPr id="5" name="Group 5"/>
                <wp:cNvGraphicFramePr>
                  <a:graphicFrameLocks/>
                </wp:cNvGraphicFramePr>
                <a:graphic>
                  <a:graphicData uri="http://schemas.microsoft.com/office/word/2010/wordprocessingGroup">
                    <wpg:wgp>
                      <wpg:cNvPr id="5" name="Group 5"/>
                      <wpg:cNvGrpSpPr/>
                      <wpg:grpSpPr>
                        <a:xfrm>
                          <a:off x="0" y="0"/>
                          <a:ext cx="6676390" cy="1742439"/>
                          <a:chExt cx="6676390" cy="1742439"/>
                        </a:xfrm>
                      </wpg:grpSpPr>
                      <pic:pic>
                        <pic:nvPicPr>
                          <pic:cNvPr id="6" name="Image 6"/>
                          <pic:cNvPicPr/>
                        </pic:nvPicPr>
                        <pic:blipFill>
                          <a:blip r:embed="rId7" cstate="print"/>
                          <a:stretch>
                            <a:fillRect/>
                          </a:stretch>
                        </pic:blipFill>
                        <pic:spPr>
                          <a:xfrm>
                            <a:off x="0" y="0"/>
                            <a:ext cx="6676390" cy="1742439"/>
                          </a:xfrm>
                          <a:prstGeom prst="rect">
                            <a:avLst/>
                          </a:prstGeom>
                        </pic:spPr>
                      </pic:pic>
                      <wps:wsp>
                        <wps:cNvPr id="7" name="Textbox 7"/>
                        <wps:cNvSpPr txBox="1"/>
                        <wps:spPr>
                          <a:xfrm>
                            <a:off x="0" y="0"/>
                            <a:ext cx="6676390" cy="1742439"/>
                          </a:xfrm>
                          <a:prstGeom prst="rect">
                            <a:avLst/>
                          </a:prstGeom>
                        </wps:spPr>
                        <wps:txbx>
                          <w:txbxContent>
                            <w:p>
                              <w:pPr>
                                <w:spacing w:before="228"/>
                                <w:ind w:left="172" w:right="155"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dezembro de 2024. As informações aqui apresentadas não constituem, todavia, o</w:t>
                              </w:r>
                              <w:r>
                                <w:rPr>
                                  <w:rFonts w:ascii="Arial" w:hAnsi="Arial"/>
                                  <w:b/>
                                  <w:spacing w:val="40"/>
                                  <w:sz w:val="24"/>
                                </w:rPr>
                                <w:t> </w:t>
                              </w:r>
                              <w:r>
                                <w:rPr>
                                  <w:rFonts w:ascii="Arial" w:hAnsi="Arial"/>
                                  <w:b/>
                                  <w:sz w:val="24"/>
                                </w:rPr>
                                <w:t>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7pt;height:137.2pt;mso-position-horizontal-relative:char;mso-position-vertical-relative:line" id="docshapegroup4" coordorigin="0,0" coordsize="10514,2744">
                <v:shape style="position:absolute;left:0;top:0;width:10514;height:2744" type="#_x0000_t75" id="docshape5" stroked="false">
                  <v:imagedata r:id="rId7" o:title=""/>
                </v:shape>
                <v:shape style="position:absolute;left:0;top:0;width:10514;height:2744" type="#_x0000_t202" id="docshape6" filled="false" stroked="false">
                  <v:textbox inset="0,0,0,0">
                    <w:txbxContent>
                      <w:p>
                        <w:pPr>
                          <w:spacing w:before="228"/>
                          <w:ind w:left="172" w:right="155"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dezembro de 2024. As informações aqui apresentadas não constituem, todavia, o</w:t>
                        </w:r>
                        <w:r>
                          <w:rPr>
                            <w:rFonts w:ascii="Arial" w:hAnsi="Arial"/>
                            <w:b/>
                            <w:spacing w:val="40"/>
                            <w:sz w:val="24"/>
                          </w:rPr>
                          <w:t> </w:t>
                        </w:r>
                        <w:r>
                          <w:rPr>
                            <w:rFonts w:ascii="Arial" w:hAnsi="Arial"/>
                            <w:b/>
                            <w:sz w:val="24"/>
                          </w:rPr>
                          <w:t>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spacing w:before="3"/>
        <w:rPr>
          <w:rFonts w:ascii="Times New Roman"/>
          <w:sz w:val="19"/>
        </w:rPr>
      </w:pPr>
      <w:r>
        <w:rPr>
          <w:rFonts w:ascii="Times New Roman"/>
          <w:sz w:val="19"/>
        </w:rPr>
        <mc:AlternateContent>
          <mc:Choice Requires="wps">
            <w:drawing>
              <wp:anchor distT="0" distB="0" distL="0" distR="0" allowOverlap="1" layoutInCell="1" locked="0" behindDoc="1" simplePos="0" relativeHeight="487588352">
                <wp:simplePos x="0" y="0"/>
                <wp:positionH relativeFrom="page">
                  <wp:posOffset>390525</wp:posOffset>
                </wp:positionH>
                <wp:positionV relativeFrom="paragraph">
                  <wp:posOffset>156210</wp:posOffset>
                </wp:positionV>
                <wp:extent cx="6736080" cy="41402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736080" cy="414020"/>
                          <a:chExt cx="6736080" cy="414020"/>
                        </a:xfrm>
                      </wpg:grpSpPr>
                      <pic:pic>
                        <pic:nvPicPr>
                          <pic:cNvPr id="9" name="Image 9"/>
                          <pic:cNvPicPr/>
                        </pic:nvPicPr>
                        <pic:blipFill>
                          <a:blip r:embed="rId8" cstate="print"/>
                          <a:stretch>
                            <a:fillRect/>
                          </a:stretch>
                        </pic:blipFill>
                        <pic:spPr>
                          <a:xfrm>
                            <a:off x="0" y="0"/>
                            <a:ext cx="6735721" cy="414020"/>
                          </a:xfrm>
                          <a:prstGeom prst="rect">
                            <a:avLst/>
                          </a:prstGeom>
                        </pic:spPr>
                      </pic:pic>
                      <wps:wsp>
                        <wps:cNvPr id="10" name="Textbox 10"/>
                        <wps:cNvSpPr txBox="1"/>
                        <wps:spPr>
                          <a:xfrm>
                            <a:off x="0" y="0"/>
                            <a:ext cx="6736080" cy="414020"/>
                          </a:xfrm>
                          <a:prstGeom prst="rect">
                            <a:avLst/>
                          </a:prstGeom>
                        </wps:spPr>
                        <wps:txbx>
                          <w:txbxContent>
                            <w:p>
                              <w:pPr>
                                <w:spacing w:line="240" w:lineRule="auto" w:before="11"/>
                                <w:rPr>
                                  <w:rFonts w:ascii="Times New Roman"/>
                                  <w:sz w:val="22"/>
                                </w:rPr>
                              </w:pPr>
                            </w:p>
                            <w:p>
                              <w:pPr>
                                <w:spacing w:before="0"/>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8736/2024</w:t>
                              </w:r>
                            </w:p>
                          </w:txbxContent>
                        </wps:txbx>
                        <wps:bodyPr wrap="square" lIns="0" tIns="0" rIns="0" bIns="0" rtlCol="0">
                          <a:noAutofit/>
                        </wps:bodyPr>
                      </wps:wsp>
                    </wpg:wgp>
                  </a:graphicData>
                </a:graphic>
              </wp:anchor>
            </w:drawing>
          </mc:Choice>
          <mc:Fallback>
            <w:pict>
              <v:group style="position:absolute;margin-left:30.75pt;margin-top:12.3pt;width:530.4pt;height:32.6pt;mso-position-horizontal-relative:page;mso-position-vertical-relative:paragraph;z-index:-15728128;mso-wrap-distance-left:0;mso-wrap-distance-right:0" id="docshapegroup7" coordorigin="615,246" coordsize="10608,652">
                <v:shape style="position:absolute;left:615;top:246;width:10608;height:652" type="#_x0000_t75" id="docshape8" stroked="false">
                  <v:imagedata r:id="rId8" o:title=""/>
                </v:shape>
                <v:shape style="position:absolute;left:615;top:246;width:10608;height:652" type="#_x0000_t202" id="docshape9" filled="false" stroked="false">
                  <v:textbox inset="0,0,0,0">
                    <w:txbxContent>
                      <w:p>
                        <w:pPr>
                          <w:spacing w:line="240" w:lineRule="auto" w:before="11"/>
                          <w:rPr>
                            <w:rFonts w:ascii="Times New Roman"/>
                            <w:sz w:val="22"/>
                          </w:rPr>
                        </w:pPr>
                      </w:p>
                      <w:p>
                        <w:pPr>
                          <w:spacing w:before="0"/>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8736/2024</w:t>
                        </w:r>
                      </w:p>
                    </w:txbxContent>
                  </v:textbox>
                  <w10:wrap type="none"/>
                </v:shape>
                <w10:wrap type="topAndBottom"/>
              </v:group>
            </w:pict>
          </mc:Fallback>
        </mc:AlternateContent>
      </w:r>
    </w:p>
    <w:p>
      <w:pPr>
        <w:pStyle w:val="BodyText"/>
        <w:spacing w:before="3"/>
        <w:rPr>
          <w:rFonts w:ascii="Times New Roman"/>
          <w:sz w:val="24"/>
        </w:rPr>
      </w:pPr>
    </w:p>
    <w:p>
      <w:pPr>
        <w:pStyle w:val="Heading1"/>
      </w:pPr>
      <w:r>
        <w:rPr/>
        <w:t>INSPEÇÃO. CONVERSÃO EM REPRESENTAÇÃO. RECONHECIMENTO DA PRESCRIÇÃO. </w:t>
      </w:r>
      <w:r>
        <w:rPr>
          <w:spacing w:val="-2"/>
        </w:rPr>
        <w:t>ARQUIVAMENTO.</w:t>
      </w:r>
    </w:p>
    <w:p>
      <w:pPr>
        <w:pStyle w:val="BodyText"/>
        <w:spacing w:before="207"/>
        <w:ind w:left="299" w:right="455"/>
        <w:jc w:val="both"/>
      </w:pPr>
      <w:r>
        <w:rPr/>
        <w:t>Inspeção com o objetivo de verificar a regularidade na execução contábil, financeira, orçamentária, operacional e patrimonial da Administração Pública Municipal. Quanto à existência de prescrição no TCE/CE, existem os marcos temporais estipulados pela Lei Estadual nº 16.819, de 08/01/2019, a qual alterou a LOTCE, ou seja, para processos estaduais, o prazo se inicia em 09/01/2019, respeitando-se, todavia, as causas interruptivas e/ou suspensivas, regulamentadas pela Resolução Administrativa nº 03/2023, posteriormente atualizada pela Resolução Administrativa nº 15/2023 (DOE-TCE/CE de 12/07/2023). Quanto às contas municipais o marco foi a Lei Estadual nº 15.516, de 06/01/2014 (art. 64 - B da LOTCE). No caso em apreço, o marco prescricional se inicia na data do conhecimento da irregularidade ou do dano pelo Tribunal (Resolução Adm. nº 03/2023 - Art. 3º, IV), qual seja 17/06/2019 (autuação), contando com mais de 05 (cinco) anos do conhecimento das falhas, logo ao se converter tal Inspeção, em Representação, está já iria está prescrita, culminando em uma instrução processual que irá acarretar, ao final, em reconhecimento da prescrição. O Pleno Virtual do Tribunal de Contas do Estado do Ceará, mediante voto de desempate do Presidente, arquivou a presente Inspeção.</w:t>
      </w:r>
    </w:p>
    <w:p>
      <w:pPr>
        <w:spacing w:before="207"/>
        <w:ind w:left="299" w:right="0" w:firstLine="0"/>
        <w:jc w:val="both"/>
        <w:rPr>
          <w:sz w:val="18"/>
        </w:rPr>
      </w:pPr>
      <w:r>
        <w:rPr>
          <w:sz w:val="18"/>
        </w:rPr>
        <w:t>Processo</w:t>
      </w:r>
      <w:r>
        <w:rPr>
          <w:spacing w:val="-5"/>
          <w:sz w:val="18"/>
        </w:rPr>
        <w:t> </w:t>
      </w:r>
      <w:r>
        <w:rPr>
          <w:sz w:val="18"/>
        </w:rPr>
        <w:t>nº</w:t>
      </w:r>
      <w:r>
        <w:rPr>
          <w:spacing w:val="-3"/>
          <w:sz w:val="18"/>
        </w:rPr>
        <w:t> </w:t>
      </w:r>
      <w:r>
        <w:rPr>
          <w:sz w:val="18"/>
        </w:rPr>
        <w:t>12215/2019-7.</w:t>
      </w:r>
      <w:r>
        <w:rPr>
          <w:spacing w:val="68"/>
          <w:w w:val="150"/>
          <w:sz w:val="18"/>
        </w:rPr>
        <w:t>  </w:t>
      </w:r>
      <w:r>
        <w:rPr>
          <w:sz w:val="18"/>
        </w:rPr>
        <w:t>Relator(a):</w:t>
      </w:r>
      <w:r>
        <w:rPr>
          <w:spacing w:val="-1"/>
          <w:sz w:val="18"/>
        </w:rPr>
        <w:t> </w:t>
      </w:r>
      <w:r>
        <w:rPr>
          <w:sz w:val="18"/>
        </w:rPr>
        <w:t>Cons(a).</w:t>
      </w:r>
      <w:r>
        <w:rPr>
          <w:spacing w:val="-3"/>
          <w:sz w:val="18"/>
        </w:rPr>
        <w:t> </w:t>
      </w:r>
      <w:r>
        <w:rPr>
          <w:sz w:val="18"/>
        </w:rPr>
        <w:t>Soraia</w:t>
      </w:r>
      <w:r>
        <w:rPr>
          <w:spacing w:val="-1"/>
          <w:sz w:val="18"/>
        </w:rPr>
        <w:t> </w:t>
      </w:r>
      <w:r>
        <w:rPr>
          <w:sz w:val="18"/>
        </w:rPr>
        <w:t>Victor.</w:t>
      </w:r>
      <w:r>
        <w:rPr>
          <w:spacing w:val="61"/>
          <w:sz w:val="18"/>
        </w:rPr>
        <w:t>   </w:t>
      </w:r>
      <w:r>
        <w:rPr>
          <w:sz w:val="18"/>
        </w:rPr>
        <w:t>Sessão</w:t>
      </w:r>
      <w:r>
        <w:rPr>
          <w:spacing w:val="-1"/>
          <w:sz w:val="18"/>
        </w:rPr>
        <w:t> </w:t>
      </w:r>
      <w:r>
        <w:rPr>
          <w:sz w:val="18"/>
        </w:rPr>
        <w:t>de</w:t>
      </w:r>
      <w:r>
        <w:rPr>
          <w:spacing w:val="-3"/>
          <w:sz w:val="18"/>
        </w:rPr>
        <w:t> </w:t>
      </w:r>
      <w:r>
        <w:rPr>
          <w:sz w:val="18"/>
        </w:rPr>
        <w:t>16/12/2024.</w:t>
      </w:r>
      <w:r>
        <w:rPr>
          <w:spacing w:val="62"/>
          <w:sz w:val="18"/>
        </w:rPr>
        <w:t>   </w:t>
      </w:r>
      <w:r>
        <w:rPr>
          <w:sz w:val="18"/>
        </w:rPr>
        <w:t>Ata</w:t>
      </w:r>
      <w:r>
        <w:rPr>
          <w:spacing w:val="-2"/>
          <w:sz w:val="18"/>
        </w:rPr>
        <w:t> </w:t>
      </w:r>
      <w:r>
        <w:rPr>
          <w:sz w:val="18"/>
        </w:rPr>
        <w:t>n.º</w:t>
      </w:r>
      <w:r>
        <w:rPr>
          <w:spacing w:val="-3"/>
          <w:sz w:val="18"/>
        </w:rPr>
        <w:t> </w:t>
      </w:r>
      <w:r>
        <w:rPr>
          <w:sz w:val="18"/>
        </w:rPr>
        <w:t>221/2024.</w:t>
      </w:r>
      <w:r>
        <w:rPr>
          <w:spacing w:val="69"/>
          <w:sz w:val="18"/>
        </w:rPr>
        <w:t>  </w:t>
      </w:r>
      <w:r>
        <w:rPr>
          <w:sz w:val="18"/>
        </w:rPr>
        <w:t>DO:</w:t>
      </w:r>
      <w:r>
        <w:rPr>
          <w:spacing w:val="-1"/>
          <w:sz w:val="18"/>
        </w:rPr>
        <w:t> </w:t>
      </w:r>
      <w:r>
        <w:rPr>
          <w:spacing w:val="-2"/>
          <w:sz w:val="18"/>
        </w:rPr>
        <w:t>21/01/2025.</w:t>
      </w:r>
    </w:p>
    <w:p>
      <w:pPr>
        <w:pStyle w:val="BodyText"/>
        <w:spacing w:before="8"/>
        <w:rPr>
          <w:sz w:val="17"/>
        </w:rPr>
      </w:pPr>
      <w:r>
        <w:rPr>
          <w:sz w:val="17"/>
        </w:rPr>
        <mc:AlternateContent>
          <mc:Choice Requires="wps">
            <w:drawing>
              <wp:anchor distT="0" distB="0" distL="0" distR="0" allowOverlap="1" layoutInCell="1" locked="0" behindDoc="1" simplePos="0" relativeHeight="487588864">
                <wp:simplePos x="0" y="0"/>
                <wp:positionH relativeFrom="page">
                  <wp:posOffset>349250</wp:posOffset>
                </wp:positionH>
                <wp:positionV relativeFrom="paragraph">
                  <wp:posOffset>144997</wp:posOffset>
                </wp:positionV>
                <wp:extent cx="6824345" cy="45402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824345" cy="454025"/>
                          <a:chExt cx="6824345" cy="454025"/>
                        </a:xfrm>
                      </wpg:grpSpPr>
                      <pic:pic>
                        <pic:nvPicPr>
                          <pic:cNvPr id="12" name="Image 12"/>
                          <pic:cNvPicPr/>
                        </pic:nvPicPr>
                        <pic:blipFill>
                          <a:blip r:embed="rId9" cstate="print"/>
                          <a:stretch>
                            <a:fillRect/>
                          </a:stretch>
                        </pic:blipFill>
                        <pic:spPr>
                          <a:xfrm>
                            <a:off x="0" y="0"/>
                            <a:ext cx="6824345" cy="454012"/>
                          </a:xfrm>
                          <a:prstGeom prst="rect">
                            <a:avLst/>
                          </a:prstGeom>
                        </pic:spPr>
                      </pic:pic>
                      <wps:wsp>
                        <wps:cNvPr id="13" name="Textbox 13"/>
                        <wps:cNvSpPr txBox="1"/>
                        <wps:spPr>
                          <a:xfrm>
                            <a:off x="0" y="0"/>
                            <a:ext cx="6824345" cy="454025"/>
                          </a:xfrm>
                          <a:prstGeom prst="rect">
                            <a:avLst/>
                          </a:prstGeom>
                        </wps:spPr>
                        <wps:txbx>
                          <w:txbxContent>
                            <w:p>
                              <w:pPr>
                                <w:spacing w:before="231"/>
                                <w:ind w:left="57"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8455/2024</w:t>
                              </w:r>
                            </w:p>
                          </w:txbxContent>
                        </wps:txbx>
                        <wps:bodyPr wrap="square" lIns="0" tIns="0" rIns="0" bIns="0" rtlCol="0">
                          <a:noAutofit/>
                        </wps:bodyPr>
                      </wps:wsp>
                    </wpg:wgp>
                  </a:graphicData>
                </a:graphic>
              </wp:anchor>
            </w:drawing>
          </mc:Choice>
          <mc:Fallback>
            <w:pict>
              <v:group style="position:absolute;margin-left:27.5pt;margin-top:11.417113pt;width:537.35pt;height:35.75pt;mso-position-horizontal-relative:page;mso-position-vertical-relative:paragraph;z-index:-15727616;mso-wrap-distance-left:0;mso-wrap-distance-right:0" id="docshapegroup10" coordorigin="550,228" coordsize="10747,715">
                <v:shape style="position:absolute;left:550;top:228;width:10747;height:715" type="#_x0000_t75" id="docshape11" stroked="false">
                  <v:imagedata r:id="rId9" o:title=""/>
                </v:shape>
                <v:shape style="position:absolute;left:550;top:228;width:10747;height:715" type="#_x0000_t202" id="docshape12" filled="false" stroked="false">
                  <v:textbox inset="0,0,0,0">
                    <w:txbxContent>
                      <w:p>
                        <w:pPr>
                          <w:spacing w:before="231"/>
                          <w:ind w:left="57"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8455/2024</w:t>
                        </w:r>
                      </w:p>
                    </w:txbxContent>
                  </v:textbox>
                  <w10:wrap type="none"/>
                </v:shape>
                <w10:wrap type="topAndBottom"/>
              </v:group>
            </w:pict>
          </mc:Fallback>
        </mc:AlternateContent>
      </w:r>
    </w:p>
    <w:p>
      <w:pPr>
        <w:pStyle w:val="Heading1"/>
        <w:spacing w:before="184"/>
      </w:pPr>
      <w:r>
        <w:rPr/>
        <w:t>PRESTAÇÃO DE CONTAS DE GESTÃO. AUSÊNCIA NOTAS EXPLICATIVAS. BALANÇO FINANCEIRO.</w:t>
      </w:r>
      <w:r>
        <w:rPr>
          <w:spacing w:val="-7"/>
        </w:rPr>
        <w:t> </w:t>
      </w:r>
      <w:r>
        <w:rPr/>
        <w:t>DEMONSTRATIVO</w:t>
      </w:r>
      <w:r>
        <w:rPr>
          <w:spacing w:val="-7"/>
        </w:rPr>
        <w:t> </w:t>
      </w:r>
      <w:r>
        <w:rPr/>
        <w:t>VARIAÇÕES</w:t>
      </w:r>
      <w:r>
        <w:rPr>
          <w:spacing w:val="-9"/>
        </w:rPr>
        <w:t> </w:t>
      </w:r>
      <w:r>
        <w:rPr/>
        <w:t>PATRIMONIAIS.</w:t>
      </w:r>
      <w:r>
        <w:rPr>
          <w:spacing w:val="-9"/>
        </w:rPr>
        <w:t> </w:t>
      </w:r>
      <w:r>
        <w:rPr/>
        <w:t>RESPONSABILIDADE</w:t>
      </w:r>
      <w:r>
        <w:rPr>
          <w:spacing w:val="-9"/>
        </w:rPr>
        <w:t> </w:t>
      </w:r>
      <w:r>
        <w:rPr/>
        <w:t>GESTOR LIQUIDANTE. RESPONSABILIDADE CONTADOR. CONTAS REGULARES COM RESSALVAS. MULTA. RECOMENDAÇÃO.</w:t>
      </w:r>
    </w:p>
    <w:p>
      <w:pPr>
        <w:pStyle w:val="BodyText"/>
        <w:spacing w:before="207"/>
        <w:ind w:left="299" w:right="449"/>
        <w:jc w:val="both"/>
      </w:pPr>
      <w:r>
        <w:rPr/>
        <w:t>Prestação de Contas de Gestão da Companhia de Habitação do Ceará – Cohab, onde foram identificadas falhas que demandaram recomendações, ocasionando com isto a aprovação com ressalvas das presentes contas e aplicação de multa individual ao gestor liquidante e ao contador responsável pela área contábil da Cohab. Dentre as falhas apresentadas destacou-se a ausência de detalhamentos em Notas Explicativas ao Balanço Financeiro e da Demonstração das Variações Patrimoniais. Considerando que não foram sanadas as falhas e considerando ainda que</w:t>
      </w:r>
      <w:r>
        <w:rPr>
          <w:spacing w:val="40"/>
        </w:rPr>
        <w:t> </w:t>
      </w:r>
      <w:r>
        <w:rPr/>
        <w:t>se tratam de falhas leves de natureza semelhantes, a Segunda Câmara Virtual do Tribunal de Contas do Estado do Ceará, por</w:t>
      </w:r>
      <w:r>
        <w:rPr>
          <w:spacing w:val="-1"/>
        </w:rPr>
        <w:t> </w:t>
      </w:r>
      <w:r>
        <w:rPr/>
        <w:t>unanimidade dos votos,</w:t>
      </w:r>
      <w:r>
        <w:rPr>
          <w:spacing w:val="-2"/>
        </w:rPr>
        <w:t> </w:t>
      </w:r>
      <w:r>
        <w:rPr/>
        <w:t>julgou as</w:t>
      </w:r>
      <w:r>
        <w:rPr>
          <w:spacing w:val="-2"/>
        </w:rPr>
        <w:t> </w:t>
      </w:r>
      <w:r>
        <w:rPr/>
        <w:t>contas regulares com</w:t>
      </w:r>
      <w:r>
        <w:rPr>
          <w:spacing w:val="-1"/>
        </w:rPr>
        <w:t> </w:t>
      </w:r>
      <w:r>
        <w:rPr/>
        <w:t>ressalvas com</w:t>
      </w:r>
      <w:r>
        <w:rPr>
          <w:spacing w:val="-1"/>
        </w:rPr>
        <w:t> </w:t>
      </w:r>
      <w:r>
        <w:rPr/>
        <w:t>aplicação de multa e</w:t>
      </w:r>
      <w:r>
        <w:rPr>
          <w:spacing w:val="-1"/>
        </w:rPr>
        <w:t> </w:t>
      </w:r>
      <w:r>
        <w:rPr/>
        <w:t>recomendações.</w:t>
      </w:r>
    </w:p>
    <w:p>
      <w:pPr>
        <w:spacing w:before="207"/>
        <w:ind w:left="299" w:right="0" w:firstLine="0"/>
        <w:jc w:val="both"/>
        <w:rPr>
          <w:sz w:val="18"/>
        </w:rPr>
      </w:pPr>
      <w:r>
        <w:rPr>
          <w:sz w:val="18"/>
        </w:rPr>
        <w:t>Processo</w:t>
      </w:r>
      <w:r>
        <w:rPr>
          <w:spacing w:val="-3"/>
          <w:sz w:val="18"/>
        </w:rPr>
        <w:t> </w:t>
      </w:r>
      <w:r>
        <w:rPr>
          <w:sz w:val="18"/>
        </w:rPr>
        <w:t>n.º</w:t>
      </w:r>
      <w:r>
        <w:rPr>
          <w:spacing w:val="-3"/>
          <w:sz w:val="18"/>
        </w:rPr>
        <w:t> </w:t>
      </w:r>
      <w:r>
        <w:rPr>
          <w:sz w:val="18"/>
        </w:rPr>
        <w:t>20755/2022-5</w:t>
      </w:r>
      <w:r>
        <w:rPr>
          <w:spacing w:val="70"/>
          <w:sz w:val="18"/>
        </w:rPr>
        <w:t>  </w:t>
      </w:r>
      <w:r>
        <w:rPr>
          <w:sz w:val="18"/>
        </w:rPr>
        <w:t>Relator(a):</w:t>
      </w:r>
      <w:r>
        <w:rPr>
          <w:spacing w:val="-1"/>
          <w:sz w:val="18"/>
        </w:rPr>
        <w:t> </w:t>
      </w:r>
      <w:r>
        <w:rPr>
          <w:sz w:val="18"/>
        </w:rPr>
        <w:t>Cons(a).</w:t>
      </w:r>
      <w:r>
        <w:rPr>
          <w:spacing w:val="-3"/>
          <w:sz w:val="18"/>
        </w:rPr>
        <w:t> </w:t>
      </w:r>
      <w:r>
        <w:rPr>
          <w:sz w:val="18"/>
        </w:rPr>
        <w:t>Soraia Victor</w:t>
      </w:r>
      <w:r>
        <w:rPr>
          <w:spacing w:val="70"/>
          <w:sz w:val="18"/>
        </w:rPr>
        <w:t>  </w:t>
      </w:r>
      <w:r>
        <w:rPr>
          <w:sz w:val="18"/>
        </w:rPr>
        <w:t>Sessão</w:t>
      </w:r>
      <w:r>
        <w:rPr>
          <w:spacing w:val="-2"/>
          <w:sz w:val="18"/>
        </w:rPr>
        <w:t> </w:t>
      </w:r>
      <w:r>
        <w:rPr>
          <w:sz w:val="18"/>
        </w:rPr>
        <w:t>de</w:t>
      </w:r>
      <w:r>
        <w:rPr>
          <w:spacing w:val="-3"/>
          <w:sz w:val="18"/>
        </w:rPr>
        <w:t> </w:t>
      </w:r>
      <w:r>
        <w:rPr>
          <w:sz w:val="18"/>
        </w:rPr>
        <w:t>02/12/2024</w:t>
      </w:r>
      <w:r>
        <w:rPr>
          <w:spacing w:val="71"/>
          <w:sz w:val="18"/>
        </w:rPr>
        <w:t>    </w:t>
      </w:r>
      <w:r>
        <w:rPr>
          <w:sz w:val="18"/>
        </w:rPr>
        <w:t>Ata</w:t>
      </w:r>
      <w:r>
        <w:rPr>
          <w:spacing w:val="-2"/>
          <w:sz w:val="18"/>
        </w:rPr>
        <w:t> </w:t>
      </w:r>
      <w:r>
        <w:rPr>
          <w:sz w:val="18"/>
        </w:rPr>
        <w:t>n.º</w:t>
      </w:r>
      <w:r>
        <w:rPr>
          <w:spacing w:val="-3"/>
          <w:sz w:val="18"/>
        </w:rPr>
        <w:t> </w:t>
      </w:r>
      <w:r>
        <w:rPr>
          <w:sz w:val="18"/>
        </w:rPr>
        <w:t>219/2024.</w:t>
      </w:r>
      <w:r>
        <w:rPr>
          <w:spacing w:val="62"/>
          <w:sz w:val="18"/>
        </w:rPr>
        <w:t>   </w:t>
      </w:r>
      <w:r>
        <w:rPr>
          <w:sz w:val="18"/>
        </w:rPr>
        <w:t>DO:</w:t>
      </w:r>
      <w:r>
        <w:rPr>
          <w:spacing w:val="-1"/>
          <w:sz w:val="18"/>
        </w:rPr>
        <w:t> </w:t>
      </w:r>
      <w:r>
        <w:rPr>
          <w:spacing w:val="-2"/>
          <w:sz w:val="18"/>
        </w:rPr>
        <w:t>14/01/2025.</w:t>
      </w:r>
    </w:p>
    <w:p>
      <w:pPr>
        <w:spacing w:after="0"/>
        <w:jc w:val="both"/>
        <w:rPr>
          <w:sz w:val="18"/>
        </w:rPr>
        <w:sectPr>
          <w:footerReference w:type="default" r:id="rId5"/>
          <w:type w:val="continuous"/>
          <w:pgSz w:w="11910" w:h="16840"/>
          <w:pgMar w:header="0" w:footer="761" w:top="0" w:bottom="960" w:left="283" w:right="141"/>
          <w:pgNumType w:start="1"/>
        </w:sectPr>
      </w:pPr>
    </w:p>
    <w:p>
      <w:pPr>
        <w:pStyle w:val="BodyText"/>
        <w:spacing w:before="5"/>
        <w:rPr>
          <w:sz w:val="15"/>
        </w:rPr>
      </w:pPr>
    </w:p>
    <w:p>
      <w:pPr>
        <w:pStyle w:val="BodyText"/>
        <w:ind w:left="102"/>
      </w:pPr>
      <w:r>
        <w:rPr/>
        <mc:AlternateContent>
          <mc:Choice Requires="wps">
            <w:drawing>
              <wp:inline distT="0" distB="0" distL="0" distR="0">
                <wp:extent cx="7193280" cy="455930"/>
                <wp:effectExtent l="0" t="0" r="0" b="1270"/>
                <wp:docPr id="14" name="Group 14"/>
                <wp:cNvGraphicFramePr>
                  <a:graphicFrameLocks/>
                </wp:cNvGraphicFramePr>
                <a:graphic>
                  <a:graphicData uri="http://schemas.microsoft.com/office/word/2010/wordprocessingGroup">
                    <wpg:wgp>
                      <wpg:cNvPr id="14" name="Group 14"/>
                      <wpg:cNvGrpSpPr/>
                      <wpg:grpSpPr>
                        <a:xfrm>
                          <a:off x="0" y="0"/>
                          <a:ext cx="7193280" cy="455930"/>
                          <a:chExt cx="7193280" cy="455930"/>
                        </a:xfrm>
                      </wpg:grpSpPr>
                      <pic:pic>
                        <pic:nvPicPr>
                          <pic:cNvPr id="15" name="Image 15"/>
                          <pic:cNvPicPr/>
                        </pic:nvPicPr>
                        <pic:blipFill>
                          <a:blip r:embed="rId9" cstate="print"/>
                          <a:stretch>
                            <a:fillRect/>
                          </a:stretch>
                        </pic:blipFill>
                        <pic:spPr>
                          <a:xfrm>
                            <a:off x="0" y="0"/>
                            <a:ext cx="7193280" cy="455929"/>
                          </a:xfrm>
                          <a:prstGeom prst="rect">
                            <a:avLst/>
                          </a:prstGeom>
                        </pic:spPr>
                      </pic:pic>
                      <wps:wsp>
                        <wps:cNvPr id="16" name="Textbox 16"/>
                        <wps:cNvSpPr txBox="1"/>
                        <wps:spPr>
                          <a:xfrm>
                            <a:off x="0" y="0"/>
                            <a:ext cx="7193280" cy="455930"/>
                          </a:xfrm>
                          <a:prstGeom prst="rect">
                            <a:avLst/>
                          </a:prstGeom>
                        </wps:spPr>
                        <wps:txbx>
                          <w:txbxContent>
                            <w:p>
                              <w:pPr>
                                <w:spacing w:before="221"/>
                                <w:ind w:left="0" w:right="191"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8627/2024</w:t>
                              </w:r>
                            </w:p>
                          </w:txbxContent>
                        </wps:txbx>
                        <wps:bodyPr wrap="square" lIns="0" tIns="0" rIns="0" bIns="0" rtlCol="0">
                          <a:noAutofit/>
                        </wps:bodyPr>
                      </wps:wsp>
                    </wpg:wgp>
                  </a:graphicData>
                </a:graphic>
              </wp:inline>
            </w:drawing>
          </mc:Choice>
          <mc:Fallback>
            <w:pict>
              <v:group style="width:566.4pt;height:35.9pt;mso-position-horizontal-relative:char;mso-position-vertical-relative:line" id="docshapegroup13" coordorigin="0,0" coordsize="11328,718">
                <v:shape style="position:absolute;left:0;top:0;width:11328;height:718" type="#_x0000_t75" id="docshape14" stroked="false">
                  <v:imagedata r:id="rId9" o:title=""/>
                </v:shape>
                <v:shape style="position:absolute;left:0;top:0;width:11328;height:718" type="#_x0000_t202" id="docshape15" filled="false" stroked="false">
                  <v:textbox inset="0,0,0,0">
                    <w:txbxContent>
                      <w:p>
                        <w:pPr>
                          <w:spacing w:before="221"/>
                          <w:ind w:left="0" w:right="191"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8627/2024</w:t>
                        </w:r>
                      </w:p>
                    </w:txbxContent>
                  </v:textbox>
                  <w10:wrap type="none"/>
                </v:shape>
              </v:group>
            </w:pict>
          </mc:Fallback>
        </mc:AlternateContent>
      </w:r>
      <w:r>
        <w:rPr/>
      </w:r>
    </w:p>
    <w:p>
      <w:pPr>
        <w:pStyle w:val="Heading1"/>
        <w:spacing w:before="161"/>
        <w:ind w:right="449"/>
      </w:pPr>
      <w:r>
        <w:rPr/>
        <w:t>PRESTAÇÃO DE CONTAS DE GESTÃO. LICITAÇÃO. INEXIGIBILIDADE DE LICITAÇÃO. SINGULARIDADE DO OBJETO. AUSÊNCIA DE CITAÇÃO. PAGAMENTO DE DESPESAS COM JUROS E MULTAS. BAIXA MATERIALIDADE. AUSÊNCIA DE REGISTRO DA DEPRECIAÇÃO BENS PATRIMONIAIS. EXCLUSÃO DE RESPONSABILIDADE. REGULAR COM RESSALVAS. </w:t>
      </w:r>
      <w:r>
        <w:rPr>
          <w:spacing w:val="-2"/>
        </w:rPr>
        <w:t>MULTA.</w:t>
      </w:r>
    </w:p>
    <w:p>
      <w:pPr>
        <w:pStyle w:val="BodyText"/>
        <w:spacing w:before="207"/>
        <w:ind w:left="299" w:right="446"/>
        <w:jc w:val="both"/>
      </w:pPr>
      <w:r>
        <w:rPr/>
        <w:t>Prestação de Contas de Gestão onde foram apontadas as falhas a seguir: Não envio do relatório de atividades de auditoria pelo Sistema de Controle Interno;</w:t>
      </w:r>
      <w:r>
        <w:rPr>
          <w:spacing w:val="40"/>
        </w:rPr>
        <w:t> </w:t>
      </w:r>
      <w:r>
        <w:rPr/>
        <w:t>Ausência do registro da depreciação e/ou exaustão e/ou amortização dos bens patrimoniais;</w:t>
      </w:r>
      <w:r>
        <w:rPr>
          <w:spacing w:val="40"/>
        </w:rPr>
        <w:t> </w:t>
      </w:r>
      <w:r>
        <w:rPr/>
        <w:t>Inexigibilidade de licitação para contratação de serviços de natureza continuada, sem características de exclusividade e pagamento indevido de Juros e Multas. O apontamento de irregularidade por este Tribunal em procedimento de inexigibilidade depende da análise do procedimento licitatório, a fim de que se observe se a justificativa/fundamentação da inexigibilidade demonstra a singularidade do objeto, bem como o grau de complexidade que justifique a adoção dessa modalidade de contratação. Após eventual identificação de irregularidade na inexigibilidade, o Tribunal deve ofertar oportunidade de defesa. O processo de inexigibilidade objeto de análise foi realizado</w:t>
      </w:r>
      <w:r>
        <w:rPr>
          <w:spacing w:val="-3"/>
        </w:rPr>
        <w:t> </w:t>
      </w:r>
      <w:r>
        <w:rPr/>
        <w:t>em</w:t>
      </w:r>
      <w:r>
        <w:rPr>
          <w:spacing w:val="-3"/>
        </w:rPr>
        <w:t> </w:t>
      </w:r>
      <w:r>
        <w:rPr/>
        <w:t>2021,</w:t>
      </w:r>
      <w:r>
        <w:rPr>
          <w:spacing w:val="-2"/>
        </w:rPr>
        <w:t> </w:t>
      </w:r>
      <w:r>
        <w:rPr/>
        <w:t>ao</w:t>
      </w:r>
      <w:r>
        <w:rPr>
          <w:spacing w:val="-2"/>
        </w:rPr>
        <w:t> </w:t>
      </w:r>
      <w:r>
        <w:rPr/>
        <w:t>passo</w:t>
      </w:r>
      <w:r>
        <w:rPr>
          <w:spacing w:val="-2"/>
        </w:rPr>
        <w:t> </w:t>
      </w:r>
      <w:r>
        <w:rPr/>
        <w:t>que</w:t>
      </w:r>
      <w:r>
        <w:rPr>
          <w:spacing w:val="-2"/>
        </w:rPr>
        <w:t> </w:t>
      </w:r>
      <w:r>
        <w:rPr/>
        <w:t>as</w:t>
      </w:r>
      <w:r>
        <w:rPr>
          <w:spacing w:val="-2"/>
        </w:rPr>
        <w:t> </w:t>
      </w:r>
      <w:r>
        <w:rPr/>
        <w:t>presentes</w:t>
      </w:r>
      <w:r>
        <w:rPr>
          <w:spacing w:val="-2"/>
        </w:rPr>
        <w:t> </w:t>
      </w:r>
      <w:r>
        <w:rPr/>
        <w:t>contas</w:t>
      </w:r>
      <w:r>
        <w:rPr>
          <w:spacing w:val="-2"/>
        </w:rPr>
        <w:t> </w:t>
      </w:r>
      <w:r>
        <w:rPr/>
        <w:t>referem-se</w:t>
      </w:r>
      <w:r>
        <w:rPr>
          <w:spacing w:val="-2"/>
        </w:rPr>
        <w:t> </w:t>
      </w:r>
      <w:r>
        <w:rPr/>
        <w:t>ao</w:t>
      </w:r>
      <w:r>
        <w:rPr>
          <w:spacing w:val="-3"/>
        </w:rPr>
        <w:t> </w:t>
      </w:r>
      <w:r>
        <w:rPr/>
        <w:t>exercício</w:t>
      </w:r>
      <w:r>
        <w:rPr>
          <w:spacing w:val="-2"/>
        </w:rPr>
        <w:t> </w:t>
      </w:r>
      <w:r>
        <w:rPr/>
        <w:t>de</w:t>
      </w:r>
      <w:r>
        <w:rPr>
          <w:spacing w:val="-2"/>
        </w:rPr>
        <w:t> </w:t>
      </w:r>
      <w:r>
        <w:rPr/>
        <w:t>2022,</w:t>
      </w:r>
      <w:r>
        <w:rPr>
          <w:spacing w:val="-2"/>
        </w:rPr>
        <w:t> </w:t>
      </w:r>
      <w:r>
        <w:rPr/>
        <w:t>devendo</w:t>
      </w:r>
      <w:r>
        <w:rPr>
          <w:spacing w:val="-2"/>
        </w:rPr>
        <w:t> </w:t>
      </w:r>
      <w:r>
        <w:rPr/>
        <w:t>ser</w:t>
      </w:r>
      <w:r>
        <w:rPr>
          <w:spacing w:val="-3"/>
        </w:rPr>
        <w:t> </w:t>
      </w:r>
      <w:r>
        <w:rPr/>
        <w:t>excluído</w:t>
      </w:r>
      <w:r>
        <w:rPr>
          <w:spacing w:val="-2"/>
        </w:rPr>
        <w:t> </w:t>
      </w:r>
      <w:r>
        <w:rPr/>
        <w:t>do</w:t>
      </w:r>
      <w:r>
        <w:rPr>
          <w:spacing w:val="-2"/>
        </w:rPr>
        <w:t> </w:t>
      </w:r>
      <w:r>
        <w:rPr/>
        <w:t>escopo da presente prestação de contas.</w:t>
      </w:r>
      <w:r>
        <w:rPr>
          <w:spacing w:val="40"/>
        </w:rPr>
        <w:t> </w:t>
      </w:r>
      <w:r>
        <w:rPr/>
        <w:t>Em relação ao pagamento de despesa com multa e/ou juros, ante a baixa materialidade dos valores, somada a ausência de citação especifica, não configurou falta grave. A ausência do registro nas contas de depreciação, exaustão, amortização dos bens foi classificado como descumprimento formal de natureza não grave, sem dano ao Erário, com indicação de multa. A Primeira Câmara Virtual do Tribunal de Contas do Estado do Ceará, por maioria dos votos, jugou as contas Regulares com Ressalvas com aplicação de multa.</w:t>
      </w:r>
    </w:p>
    <w:p>
      <w:pPr>
        <w:spacing w:before="207"/>
        <w:ind w:left="299" w:right="0" w:firstLine="0"/>
        <w:jc w:val="both"/>
        <w:rPr>
          <w:sz w:val="18"/>
        </w:rPr>
      </w:pPr>
      <w:r>
        <w:rPr>
          <w:sz w:val="18"/>
        </w:rPr>
        <w:t>Processo</w:t>
      </w:r>
      <w:r>
        <w:rPr>
          <w:spacing w:val="-6"/>
          <w:sz w:val="18"/>
        </w:rPr>
        <w:t> </w:t>
      </w:r>
      <w:r>
        <w:rPr>
          <w:sz w:val="18"/>
        </w:rPr>
        <w:t>n.º</w:t>
      </w:r>
      <w:r>
        <w:rPr>
          <w:spacing w:val="-3"/>
          <w:sz w:val="18"/>
        </w:rPr>
        <w:t> </w:t>
      </w:r>
      <w:r>
        <w:rPr>
          <w:sz w:val="18"/>
        </w:rPr>
        <w:t>33011/2023-7</w:t>
      </w:r>
      <w:r>
        <w:rPr>
          <w:spacing w:val="69"/>
          <w:sz w:val="18"/>
        </w:rPr>
        <w:t>  </w:t>
      </w:r>
      <w:r>
        <w:rPr>
          <w:sz w:val="18"/>
        </w:rPr>
        <w:t>Relator(a):</w:t>
      </w:r>
      <w:r>
        <w:rPr>
          <w:spacing w:val="-2"/>
          <w:sz w:val="18"/>
        </w:rPr>
        <w:t> </w:t>
      </w:r>
      <w:r>
        <w:rPr>
          <w:sz w:val="18"/>
        </w:rPr>
        <w:t>Cons(a).</w:t>
      </w:r>
      <w:r>
        <w:rPr>
          <w:spacing w:val="-3"/>
          <w:sz w:val="18"/>
        </w:rPr>
        <w:t> </w:t>
      </w:r>
      <w:r>
        <w:rPr>
          <w:sz w:val="18"/>
        </w:rPr>
        <w:t>Ernesto</w:t>
      </w:r>
      <w:r>
        <w:rPr>
          <w:spacing w:val="-1"/>
          <w:sz w:val="18"/>
        </w:rPr>
        <w:t> </w:t>
      </w:r>
      <w:r>
        <w:rPr>
          <w:sz w:val="18"/>
        </w:rPr>
        <w:t>Saboia</w:t>
      </w:r>
      <w:r>
        <w:rPr>
          <w:spacing w:val="68"/>
          <w:w w:val="150"/>
          <w:sz w:val="18"/>
        </w:rPr>
        <w:t>  </w:t>
      </w:r>
      <w:r>
        <w:rPr>
          <w:sz w:val="18"/>
        </w:rPr>
        <w:t>Sessão</w:t>
      </w:r>
      <w:r>
        <w:rPr>
          <w:spacing w:val="-3"/>
          <w:sz w:val="18"/>
        </w:rPr>
        <w:t> </w:t>
      </w:r>
      <w:r>
        <w:rPr>
          <w:sz w:val="18"/>
        </w:rPr>
        <w:t>de</w:t>
      </w:r>
      <w:r>
        <w:rPr>
          <w:spacing w:val="-3"/>
          <w:sz w:val="18"/>
        </w:rPr>
        <w:t> </w:t>
      </w:r>
      <w:r>
        <w:rPr>
          <w:sz w:val="18"/>
        </w:rPr>
        <w:t>02/12/2024.</w:t>
      </w:r>
      <w:r>
        <w:rPr>
          <w:spacing w:val="69"/>
          <w:w w:val="150"/>
          <w:sz w:val="18"/>
        </w:rPr>
        <w:t>  </w:t>
      </w:r>
      <w:r>
        <w:rPr>
          <w:sz w:val="18"/>
        </w:rPr>
        <w:t>Ata</w:t>
      </w:r>
      <w:r>
        <w:rPr>
          <w:spacing w:val="-3"/>
          <w:sz w:val="18"/>
        </w:rPr>
        <w:t> </w:t>
      </w:r>
      <w:r>
        <w:rPr>
          <w:sz w:val="18"/>
        </w:rPr>
        <w:t>n.º</w:t>
      </w:r>
      <w:r>
        <w:rPr>
          <w:spacing w:val="-3"/>
          <w:sz w:val="18"/>
        </w:rPr>
        <w:t> </w:t>
      </w:r>
      <w:r>
        <w:rPr>
          <w:sz w:val="18"/>
        </w:rPr>
        <w:t>220/2024.</w:t>
      </w:r>
      <w:r>
        <w:rPr>
          <w:spacing w:val="70"/>
          <w:sz w:val="18"/>
        </w:rPr>
        <w:t>  </w:t>
      </w:r>
      <w:r>
        <w:rPr>
          <w:sz w:val="18"/>
        </w:rPr>
        <w:t>DO:</w:t>
      </w:r>
      <w:r>
        <w:rPr>
          <w:spacing w:val="-2"/>
          <w:sz w:val="18"/>
        </w:rPr>
        <w:t> 19/12/2024.</w:t>
      </w:r>
    </w:p>
    <w:p>
      <w:pPr>
        <w:pStyle w:val="BodyText"/>
        <w:spacing w:before="7"/>
        <w:rPr>
          <w:sz w:val="17"/>
        </w:rPr>
      </w:pPr>
      <w:r>
        <w:rPr>
          <w:sz w:val="17"/>
        </w:rPr>
        <mc:AlternateContent>
          <mc:Choice Requires="wps">
            <w:drawing>
              <wp:anchor distT="0" distB="0" distL="0" distR="0" allowOverlap="1" layoutInCell="1" locked="0" behindDoc="1" simplePos="0" relativeHeight="487590400">
                <wp:simplePos x="0" y="0"/>
                <wp:positionH relativeFrom="page">
                  <wp:posOffset>244475</wp:posOffset>
                </wp:positionH>
                <wp:positionV relativeFrom="paragraph">
                  <wp:posOffset>144404</wp:posOffset>
                </wp:positionV>
                <wp:extent cx="7193280" cy="45593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7193280" cy="455930"/>
                          <a:chExt cx="7193280" cy="455930"/>
                        </a:xfrm>
                      </wpg:grpSpPr>
                      <pic:pic>
                        <pic:nvPicPr>
                          <pic:cNvPr id="18" name="Image 18"/>
                          <pic:cNvPicPr/>
                        </pic:nvPicPr>
                        <pic:blipFill>
                          <a:blip r:embed="rId9" cstate="print"/>
                          <a:stretch>
                            <a:fillRect/>
                          </a:stretch>
                        </pic:blipFill>
                        <pic:spPr>
                          <a:xfrm>
                            <a:off x="0" y="0"/>
                            <a:ext cx="7193280" cy="455929"/>
                          </a:xfrm>
                          <a:prstGeom prst="rect">
                            <a:avLst/>
                          </a:prstGeom>
                        </pic:spPr>
                      </pic:pic>
                      <wps:wsp>
                        <wps:cNvPr id="19" name="Textbox 19"/>
                        <wps:cNvSpPr txBox="1"/>
                        <wps:spPr>
                          <a:xfrm>
                            <a:off x="0" y="0"/>
                            <a:ext cx="7193280" cy="455930"/>
                          </a:xfrm>
                          <a:prstGeom prst="rect">
                            <a:avLst/>
                          </a:prstGeom>
                        </wps:spPr>
                        <wps:txbx>
                          <w:txbxContent>
                            <w:p>
                              <w:pPr>
                                <w:spacing w:before="232"/>
                                <w:ind w:left="0" w:right="191"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8661/2025</w:t>
                              </w:r>
                            </w:p>
                          </w:txbxContent>
                        </wps:txbx>
                        <wps:bodyPr wrap="square" lIns="0" tIns="0" rIns="0" bIns="0" rtlCol="0">
                          <a:noAutofit/>
                        </wps:bodyPr>
                      </wps:wsp>
                    </wpg:wgp>
                  </a:graphicData>
                </a:graphic>
              </wp:anchor>
            </w:drawing>
          </mc:Choice>
          <mc:Fallback>
            <w:pict>
              <v:group style="position:absolute;margin-left:19.25pt;margin-top:11.37041pt;width:566.4pt;height:35.9pt;mso-position-horizontal-relative:page;mso-position-vertical-relative:paragraph;z-index:-15726080;mso-wrap-distance-left:0;mso-wrap-distance-right:0" id="docshapegroup16" coordorigin="385,227" coordsize="11328,718">
                <v:shape style="position:absolute;left:385;top:227;width:11328;height:718" type="#_x0000_t75" id="docshape17" stroked="false">
                  <v:imagedata r:id="rId9" o:title=""/>
                </v:shape>
                <v:shape style="position:absolute;left:385;top:227;width:11328;height:718" type="#_x0000_t202" id="docshape18" filled="false" stroked="false">
                  <v:textbox inset="0,0,0,0">
                    <w:txbxContent>
                      <w:p>
                        <w:pPr>
                          <w:spacing w:before="232"/>
                          <w:ind w:left="0" w:right="191"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8661/2025</w:t>
                        </w:r>
                      </w:p>
                    </w:txbxContent>
                  </v:textbox>
                  <w10:wrap type="none"/>
                </v:shape>
                <w10:wrap type="topAndBottom"/>
              </v:group>
            </w:pict>
          </mc:Fallback>
        </mc:AlternateContent>
      </w:r>
    </w:p>
    <w:p>
      <w:pPr>
        <w:pStyle w:val="Heading1"/>
        <w:spacing w:before="182"/>
      </w:pPr>
      <w:r>
        <w:rPr/>
        <w:t>CONSULTA. CONSÓRCIO PÚBLICO. DOAÇÃO DE RECURSOS PÚBLICO. ENTIDADE DE DIREITO PRIVADO. IMPOSSIBILIDADE.</w:t>
      </w:r>
    </w:p>
    <w:p>
      <w:pPr>
        <w:pStyle w:val="BodyText"/>
        <w:spacing w:before="207"/>
        <w:ind w:left="299" w:right="457"/>
        <w:jc w:val="both"/>
      </w:pPr>
      <w:r>
        <w:rPr/>
        <w:t>Consulta sobre dúvida acerca da (in)viabilidade legal da administração pública, atendendo certas condicionantes, doar recursos financeiros (dinheiro) para entidades privadas, com fundamento na alínea “a”, inciso II, art. 17, da Lei nº 8.666/1993. O Pleno do Tribunal de Contas do Estado do Ceará, por unanimidade de votos, conheceu a Consulta e respondeu</w:t>
      </w:r>
      <w:r>
        <w:rPr>
          <w:spacing w:val="-3"/>
        </w:rPr>
        <w:t> </w:t>
      </w:r>
      <w:r>
        <w:rPr/>
        <w:t>que</w:t>
      </w:r>
      <w:r>
        <w:rPr>
          <w:spacing w:val="-4"/>
        </w:rPr>
        <w:t> </w:t>
      </w:r>
      <w:r>
        <w:rPr/>
        <w:t>é</w:t>
      </w:r>
      <w:r>
        <w:rPr>
          <w:spacing w:val="-3"/>
        </w:rPr>
        <w:t> </w:t>
      </w:r>
      <w:r>
        <w:rPr/>
        <w:t>ilegal</w:t>
      </w:r>
      <w:r>
        <w:rPr>
          <w:spacing w:val="-4"/>
        </w:rPr>
        <w:t> </w:t>
      </w:r>
      <w:r>
        <w:rPr/>
        <w:t>a</w:t>
      </w:r>
      <w:r>
        <w:rPr>
          <w:spacing w:val="-4"/>
        </w:rPr>
        <w:t> </w:t>
      </w:r>
      <w:r>
        <w:rPr/>
        <w:t>administração</w:t>
      </w:r>
      <w:r>
        <w:rPr>
          <w:spacing w:val="-3"/>
        </w:rPr>
        <w:t> </w:t>
      </w:r>
      <w:r>
        <w:rPr/>
        <w:t>pública</w:t>
      </w:r>
      <w:r>
        <w:rPr>
          <w:spacing w:val="-3"/>
        </w:rPr>
        <w:t> </w:t>
      </w:r>
      <w:r>
        <w:rPr/>
        <w:t>doar</w:t>
      </w:r>
      <w:r>
        <w:rPr>
          <w:spacing w:val="-4"/>
        </w:rPr>
        <w:t> </w:t>
      </w:r>
      <w:r>
        <w:rPr/>
        <w:t>recursos</w:t>
      </w:r>
      <w:r>
        <w:rPr>
          <w:spacing w:val="-3"/>
        </w:rPr>
        <w:t> </w:t>
      </w:r>
      <w:r>
        <w:rPr/>
        <w:t>financeiros</w:t>
      </w:r>
      <w:r>
        <w:rPr>
          <w:spacing w:val="-3"/>
        </w:rPr>
        <w:t> </w:t>
      </w:r>
      <w:r>
        <w:rPr/>
        <w:t>(dinheiro)</w:t>
      </w:r>
      <w:r>
        <w:rPr>
          <w:spacing w:val="-2"/>
        </w:rPr>
        <w:t> </w:t>
      </w:r>
      <w:r>
        <w:rPr/>
        <w:t>para</w:t>
      </w:r>
      <w:r>
        <w:rPr>
          <w:spacing w:val="-4"/>
        </w:rPr>
        <w:t> </w:t>
      </w:r>
      <w:r>
        <w:rPr/>
        <w:t>entidade</w:t>
      </w:r>
      <w:r>
        <w:rPr>
          <w:spacing w:val="-3"/>
        </w:rPr>
        <w:t> </w:t>
      </w:r>
      <w:r>
        <w:rPr/>
        <w:t>de</w:t>
      </w:r>
      <w:r>
        <w:rPr>
          <w:spacing w:val="-3"/>
        </w:rPr>
        <w:t> </w:t>
      </w:r>
      <w:r>
        <w:rPr/>
        <w:t>direito</w:t>
      </w:r>
      <w:r>
        <w:rPr>
          <w:spacing w:val="-3"/>
        </w:rPr>
        <w:t> </w:t>
      </w:r>
      <w:r>
        <w:rPr/>
        <w:t>privado,</w:t>
      </w:r>
      <w:r>
        <w:rPr>
          <w:spacing w:val="-3"/>
        </w:rPr>
        <w:t> </w:t>
      </w:r>
      <w:r>
        <w:rPr/>
        <w:t>com fundamento na alínea “a”, inciso II, art.17, da Lei nº 8.666/1993.</w:t>
      </w:r>
    </w:p>
    <w:p>
      <w:pPr>
        <w:spacing w:before="207"/>
        <w:ind w:left="299" w:right="0" w:firstLine="0"/>
        <w:jc w:val="both"/>
        <w:rPr>
          <w:sz w:val="18"/>
        </w:rPr>
      </w:pPr>
      <w:r>
        <w:rPr>
          <w:sz w:val="18"/>
        </w:rPr>
        <w:t>Processo</w:t>
      </w:r>
      <w:r>
        <w:rPr>
          <w:spacing w:val="-3"/>
          <w:sz w:val="18"/>
        </w:rPr>
        <w:t> </w:t>
      </w:r>
      <w:r>
        <w:rPr>
          <w:sz w:val="18"/>
        </w:rPr>
        <w:t>n.º</w:t>
      </w:r>
      <w:r>
        <w:rPr>
          <w:spacing w:val="-3"/>
          <w:sz w:val="18"/>
        </w:rPr>
        <w:t> </w:t>
      </w:r>
      <w:r>
        <w:rPr>
          <w:sz w:val="18"/>
        </w:rPr>
        <w:t>21815/2023-9.</w:t>
      </w:r>
      <w:r>
        <w:rPr>
          <w:spacing w:val="69"/>
          <w:sz w:val="18"/>
        </w:rPr>
        <w:t>  </w:t>
      </w:r>
      <w:r>
        <w:rPr>
          <w:sz w:val="18"/>
        </w:rPr>
        <w:t>Relator(a):</w:t>
      </w:r>
      <w:r>
        <w:rPr>
          <w:spacing w:val="-2"/>
          <w:sz w:val="18"/>
        </w:rPr>
        <w:t> </w:t>
      </w:r>
      <w:r>
        <w:rPr>
          <w:sz w:val="18"/>
        </w:rPr>
        <w:t>Cons(a).</w:t>
      </w:r>
      <w:r>
        <w:rPr>
          <w:spacing w:val="-3"/>
          <w:sz w:val="18"/>
        </w:rPr>
        <w:t> </w:t>
      </w:r>
      <w:r>
        <w:rPr>
          <w:sz w:val="18"/>
        </w:rPr>
        <w:t>Soraia</w:t>
      </w:r>
      <w:r>
        <w:rPr>
          <w:spacing w:val="-1"/>
          <w:sz w:val="18"/>
        </w:rPr>
        <w:t> </w:t>
      </w:r>
      <w:r>
        <w:rPr>
          <w:sz w:val="18"/>
        </w:rPr>
        <w:t>Victor.</w:t>
      </w:r>
      <w:r>
        <w:rPr>
          <w:spacing w:val="68"/>
          <w:w w:val="150"/>
          <w:sz w:val="18"/>
        </w:rPr>
        <w:t>  </w:t>
      </w:r>
      <w:r>
        <w:rPr>
          <w:sz w:val="18"/>
        </w:rPr>
        <w:t>Sessão</w:t>
      </w:r>
      <w:r>
        <w:rPr>
          <w:spacing w:val="-3"/>
          <w:sz w:val="18"/>
        </w:rPr>
        <w:t> </w:t>
      </w:r>
      <w:r>
        <w:rPr>
          <w:sz w:val="18"/>
        </w:rPr>
        <w:t>de</w:t>
      </w:r>
      <w:r>
        <w:rPr>
          <w:spacing w:val="-3"/>
          <w:sz w:val="18"/>
        </w:rPr>
        <w:t> </w:t>
      </w:r>
      <w:r>
        <w:rPr>
          <w:sz w:val="18"/>
        </w:rPr>
        <w:t>17/12/2024.</w:t>
      </w:r>
      <w:r>
        <w:rPr>
          <w:spacing w:val="69"/>
          <w:w w:val="150"/>
          <w:sz w:val="18"/>
        </w:rPr>
        <w:t>  </w:t>
      </w:r>
      <w:r>
        <w:rPr>
          <w:sz w:val="18"/>
        </w:rPr>
        <w:t>Ata</w:t>
      </w:r>
      <w:r>
        <w:rPr>
          <w:spacing w:val="-3"/>
          <w:sz w:val="18"/>
        </w:rPr>
        <w:t> </w:t>
      </w:r>
      <w:r>
        <w:rPr>
          <w:sz w:val="18"/>
        </w:rPr>
        <w:t>n.º</w:t>
      </w:r>
      <w:r>
        <w:rPr>
          <w:spacing w:val="-3"/>
          <w:sz w:val="18"/>
        </w:rPr>
        <w:t> </w:t>
      </w:r>
      <w:r>
        <w:rPr>
          <w:sz w:val="18"/>
        </w:rPr>
        <w:t>014/2024.</w:t>
      </w:r>
      <w:r>
        <w:rPr>
          <w:spacing w:val="61"/>
          <w:sz w:val="18"/>
        </w:rPr>
        <w:t>   </w:t>
      </w:r>
      <w:r>
        <w:rPr>
          <w:sz w:val="18"/>
        </w:rPr>
        <w:t>DO:</w:t>
      </w:r>
      <w:r>
        <w:rPr>
          <w:spacing w:val="-2"/>
          <w:sz w:val="18"/>
        </w:rPr>
        <w:t> 23/01/2025.</w:t>
      </w:r>
    </w:p>
    <w:sectPr>
      <w:pgSz w:w="11910" w:h="16840"/>
      <w:pgMar w:header="0" w:footer="761" w:top="1920" w:bottom="960" w:left="283"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33568">
          <wp:simplePos x="0" y="0"/>
          <wp:positionH relativeFrom="page">
            <wp:posOffset>17779</wp:posOffset>
          </wp:positionH>
          <wp:positionV relativeFrom="page">
            <wp:posOffset>10081904</wp:posOffset>
          </wp:positionV>
          <wp:extent cx="7541259" cy="5822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41259" cy="582295"/>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spacing w:before="1"/>
      <w:ind w:left="299" w:right="45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2025-10-06T13:57:08Z</dcterms:created>
  <dcterms:modified xsi:type="dcterms:W3CDTF">2025-10-06T13:57:08Z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Writer</vt:lpwstr>
  </property>
  <property fmtid="{D5CDD505-2E9C-101B-9397-08002B2CF9AE}" pid="4" name="Producer">
    <vt:lpwstr>LibreOffice 6.3</vt:lpwstr>
  </property>
  <property fmtid="{D5CDD505-2E9C-101B-9397-08002B2CF9AE}" pid="5" name="LastSaved">
    <vt:filetime>2025-03-27T00:00:00Z</vt:filetime>
  </property>
</Properties>
</file>